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58C3" w14:textId="6E2AC51F" w:rsidR="0061157D" w:rsidRDefault="00C00B0D" w:rsidP="009C64B7">
      <w:pPr>
        <w:spacing w:after="0" w:line="240" w:lineRule="auto"/>
        <w:jc w:val="center"/>
      </w:pPr>
      <w:bookmarkStart w:id="0" w:name="_Hlk157766666"/>
      <w:bookmarkEnd w:id="0"/>
      <w:r w:rsidRPr="00705B19">
        <w:rPr>
          <w:rFonts w:ascii="Arial" w:eastAsiaTheme="minorHAnsi" w:hAnsi="Arial" w:cs="Arial"/>
          <w:bCs/>
          <w:noProof/>
          <w:sz w:val="16"/>
          <w:szCs w:val="16"/>
          <w:lang w:eastAsia="en-US"/>
        </w:rPr>
        <mc:AlternateContent>
          <mc:Choice Requires="wps">
            <w:drawing>
              <wp:inline distT="0" distB="0" distL="0" distR="0" wp14:anchorId="36CDCDC3" wp14:editId="7FB70421">
                <wp:extent cx="2377440" cy="244549"/>
                <wp:effectExtent l="0" t="0" r="22860" b="2222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445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1D30" w14:textId="77777777" w:rsidR="00C00B0D" w:rsidRPr="003B7F3E" w:rsidRDefault="00C00B0D" w:rsidP="00555A7F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Prescribing Tip </w:t>
                            </w:r>
                            <w:proofErr w:type="gramStart"/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CDC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7.2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" fillcolor="#8eaadb [1940]" strokecolor="#1f3763 [1604]" strokeweight="1.25pt">
                <v:textbox>
                  <w:txbxContent>
                    <w:p w14:paraId="2D4D1D30" w14:textId="77777777" w:rsidR="00C00B0D" w:rsidRPr="003B7F3E" w:rsidRDefault="00C00B0D" w:rsidP="00555A7F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Prescribing Tip </w:t>
                      </w:r>
                      <w:proofErr w:type="gramStart"/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D632A3" w14:textId="49F928F6" w:rsidR="00CB5158" w:rsidRPr="00867B02" w:rsidRDefault="00867B02" w:rsidP="00DC3FBB">
      <w:pPr>
        <w:spacing w:before="120" w:after="120"/>
        <w:jc w:val="center"/>
        <w:rPr>
          <w:rFonts w:ascii="Arial" w:hAnsi="Arial" w:cs="Arial"/>
          <w:b/>
          <w:bCs/>
        </w:rPr>
      </w:pPr>
      <w:r w:rsidRPr="00867B02">
        <w:rPr>
          <w:rFonts w:ascii="Arial" w:hAnsi="Arial" w:cs="Arial"/>
          <w:b/>
          <w:bCs/>
        </w:rPr>
        <w:t>2023 High Strength Opioid Audit Results</w:t>
      </w:r>
      <w:r w:rsidR="002849BB">
        <w:rPr>
          <w:rFonts w:ascii="Arial" w:hAnsi="Arial" w:cs="Arial"/>
          <w:b/>
          <w:bCs/>
        </w:rPr>
        <w:t xml:space="preserve"> – GP and CSR SICBL</w:t>
      </w:r>
    </w:p>
    <w:p w14:paraId="4BAA6CB2" w14:textId="6F1E4C29" w:rsidR="00DC4419" w:rsidRPr="00DC4419" w:rsidRDefault="00DC4419" w:rsidP="00EE7F60">
      <w:pPr>
        <w:spacing w:after="12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</w:pPr>
      <w:r w:rsidRPr="00DC4419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There is no evidence for efficacy of high dose opioids (&gt;120mg/day morphine equivalent) in </w:t>
      </w:r>
      <w:r w:rsidR="007471C9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chronic non-cancer</w:t>
      </w:r>
      <w:r w:rsidRPr="00DC4419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pain. </w:t>
      </w:r>
      <w:hyperlink r:id="rId11" w:history="1">
        <w:r w:rsidRPr="00DC4419">
          <w:rPr>
            <w:rStyle w:val="Hyperlink"/>
            <w:rFonts w:ascii="Arial" w:eastAsiaTheme="minorEastAsia" w:hAnsi="Arial" w:cs="Arial"/>
            <w:sz w:val="20"/>
            <w:szCs w:val="20"/>
            <w:lang w:eastAsia="en-US"/>
          </w:rPr>
          <w:t>The Faculty of Pain Medicine</w:t>
        </w:r>
      </w:hyperlink>
      <w:r w:rsidRPr="00DC4419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874BAD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(FPM) </w:t>
      </w:r>
      <w:r w:rsidRPr="00DC4419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has advised that increasing opioid load above this dose is unlikely to yield further benefits but exposes the patient to increased harm. </w:t>
      </w:r>
      <w:r w:rsidR="0040712D" w:rsidRPr="00DC4419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</w:t>
      </w:r>
    </w:p>
    <w:p w14:paraId="1C702939" w14:textId="227D9165" w:rsidR="001B4C14" w:rsidRPr="00735E66" w:rsidRDefault="00DC4419" w:rsidP="00556114">
      <w:pPr>
        <w:spacing w:after="120"/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</w:pPr>
      <w:r w:rsidRPr="00DC4419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Since 2017, the Medicines Optimisation Team</w:t>
      </w:r>
      <w:r w:rsidR="00A03972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(MOT)</w:t>
      </w:r>
      <w:r w:rsidRPr="00DC4419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ha</w:t>
      </w:r>
      <w:r w:rsidR="00F66AB4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s</w:t>
      </w:r>
      <w:r w:rsidRPr="00DC4419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work</w:t>
      </w:r>
      <w:r w:rsidR="00F66AB4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ed</w:t>
      </w:r>
      <w:r w:rsidRPr="00DC4419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with </w:t>
      </w:r>
      <w:r w:rsidR="007074FB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colleagues </w:t>
      </w:r>
      <w:r w:rsidRPr="00DC4419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>to bring prescribing into line with evidence-based recommendations.</w:t>
      </w:r>
      <w:r w:rsidR="00EE7F60"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  <w:t xml:space="preserve"> </w:t>
      </w:r>
      <w:r w:rsidR="00287921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>A</w:t>
      </w:r>
      <w:r w:rsidR="00E5361A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 xml:space="preserve"> b</w:t>
      </w:r>
      <w:r w:rsidR="00EF6060" w:rsidRPr="00EF6060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 xml:space="preserve">aseline audit </w:t>
      </w:r>
      <w:r w:rsidR="00287921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>in 2017</w:t>
      </w:r>
      <w:r w:rsidR="00735E66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 xml:space="preserve"> determine</w:t>
      </w:r>
      <w:r w:rsidR="00287921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>d</w:t>
      </w:r>
      <w:r w:rsidR="00735E66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 xml:space="preserve"> the number of patients prescribed high dose opioids &gt;120mg/day morphine equivalent</w:t>
      </w:r>
      <w:r w:rsidR="00E5361A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>.</w:t>
      </w:r>
      <w:r w:rsidR="00EF6060" w:rsidRPr="00EF6060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="00735E66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>Education and training sessions were provided alongside</w:t>
      </w:r>
      <w:r w:rsidR="00735E66" w:rsidRPr="00735E66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 xml:space="preserve"> individual medication revie</w:t>
      </w:r>
      <w:r w:rsidR="00E01B44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>w</w:t>
      </w:r>
      <w:r w:rsidR="00326FBA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>s</w:t>
      </w:r>
      <w:r w:rsidR="00735E66" w:rsidRPr="00735E66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 xml:space="preserve">. </w:t>
      </w:r>
      <w:r w:rsidR="00E5361A" w:rsidRPr="00735E66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>R</w:t>
      </w:r>
      <w:r w:rsidR="00EF6060" w:rsidRPr="00735E66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 xml:space="preserve">e-audit </w:t>
      </w:r>
      <w:r w:rsidR="00E5361A" w:rsidRPr="00735E66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 xml:space="preserve">occurred </w:t>
      </w:r>
      <w:r w:rsidR="00EF6060" w:rsidRPr="00735E66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>in 20</w:t>
      </w:r>
      <w:r w:rsidR="00E5361A" w:rsidRPr="00735E66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>21 and in 2023</w:t>
      </w:r>
      <w:r w:rsidR="00735E66" w:rsidRPr="00735E66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>.</w:t>
      </w:r>
    </w:p>
    <w:p w14:paraId="7BBFB2D7" w14:textId="24972EEF" w:rsidR="002359A2" w:rsidRDefault="003F1249" w:rsidP="002359A2">
      <w:pPr>
        <w:jc w:val="both"/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A8C6A" wp14:editId="7A3C3F65">
                <wp:simplePos x="0" y="0"/>
                <wp:positionH relativeFrom="column">
                  <wp:posOffset>5080</wp:posOffset>
                </wp:positionH>
                <wp:positionV relativeFrom="paragraph">
                  <wp:posOffset>9052</wp:posOffset>
                </wp:positionV>
                <wp:extent cx="6165850" cy="3476625"/>
                <wp:effectExtent l="0" t="0" r="25400" b="28575"/>
                <wp:wrapNone/>
                <wp:docPr id="2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6FF505-AC48-4EEB-ABD5-3EF4C2D3C7C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3476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A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D9E14" id="Rectangle 1" o:spid="_x0000_s1026" alt="&quot;&quot;" style="position:absolute;margin-left:.4pt;margin-top:.7pt;width:485.5pt;height:2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" filled="f" strokecolor="#00a399" strokeweight="1.5pt"/>
            </w:pict>
          </mc:Fallback>
        </mc:AlternateContent>
      </w:r>
      <w:r w:rsidR="0095764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6367B" wp14:editId="25829BD1">
                <wp:simplePos x="0" y="0"/>
                <wp:positionH relativeFrom="column">
                  <wp:posOffset>36830</wp:posOffset>
                </wp:positionH>
                <wp:positionV relativeFrom="paragraph">
                  <wp:posOffset>287655</wp:posOffset>
                </wp:positionV>
                <wp:extent cx="6083935" cy="1041400"/>
                <wp:effectExtent l="0" t="0" r="12065" b="2540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760297-07D8-44AD-A9DF-55096B38C656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1041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1DCB9DC4" w14:textId="511466E5" w:rsidR="00326FBA" w:rsidRPr="0030572C" w:rsidRDefault="00326FBA" w:rsidP="00326FBA">
                            <w:pPr>
                              <w:spacing w:after="0"/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30572C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Overall reduction in number of patients taking &gt; 120mg</w:t>
                            </w:r>
                            <w:r w:rsidR="00572FCA" w:rsidRPr="0030572C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/day</w:t>
                            </w:r>
                            <w:r w:rsidRPr="0030572C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72FCA" w:rsidRPr="0030572C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m</w:t>
                            </w:r>
                            <w:r w:rsidRPr="0030572C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orphine </w:t>
                            </w:r>
                            <w:r w:rsidR="00572FCA" w:rsidRPr="0030572C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e</w:t>
                            </w:r>
                            <w:r w:rsidRPr="0030572C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quivalent</w:t>
                            </w:r>
                            <w:r w:rsidR="00572FCA" w:rsidRPr="0030572C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0572C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across 47 practices in Greater Preston </w:t>
                            </w:r>
                            <w:r w:rsidR="00572FCA" w:rsidRPr="0030572C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SICBL</w:t>
                            </w:r>
                            <w:r w:rsidRPr="0030572C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and Chorley and South Ribble </w:t>
                            </w:r>
                            <w:r w:rsidR="00572FCA" w:rsidRPr="0030572C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SICBL</w:t>
                            </w:r>
                            <w:r w:rsidRPr="0030572C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from Aug-17 to </w:t>
                            </w:r>
                            <w:r w:rsidR="00D05E2B" w:rsidRPr="0030572C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Sep</w:t>
                            </w:r>
                            <w:r w:rsidRPr="0030572C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-23 </w:t>
                            </w:r>
                            <w:proofErr w:type="gramStart"/>
                            <w:r w:rsidRPr="0030572C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=  371</w:t>
                            </w:r>
                            <w:proofErr w:type="gramEnd"/>
                            <w:r w:rsidRPr="0030572C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patients (reduction from 580pts to 209pts) =                                                               </w:t>
                            </w:r>
                          </w:p>
                          <w:p w14:paraId="38BD125A" w14:textId="70C7CC3F" w:rsidR="00326FBA" w:rsidRPr="008324F5" w:rsidRDefault="00326FBA" w:rsidP="00326FBA">
                            <w:pPr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 w:rsidRPr="008324F5">
                              <w:rPr>
                                <w:rFonts w:ascii="Calibri" w:hAnsi="Calibri" w:cstheme="minorBidi"/>
                                <w:b/>
                                <w:bCs/>
                                <w:color w:val="00A53F"/>
                                <w:kern w:val="24"/>
                                <w:sz w:val="36"/>
                                <w:szCs w:val="36"/>
                              </w:rPr>
                              <w:t>64% reduction</w:t>
                            </w:r>
                            <w:r w:rsidR="00151697">
                              <w:rPr>
                                <w:rFonts w:ascii="Calibri" w:hAnsi="Calibri" w:cstheme="minorBidi"/>
                                <w:b/>
                                <w:bCs/>
                                <w:color w:val="00A53F"/>
                                <w:kern w:val="24"/>
                                <w:sz w:val="36"/>
                                <w:szCs w:val="36"/>
                              </w:rPr>
                              <w:t>*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6367B" id="TextBox 19" o:spid="_x0000_s1027" type="#_x0000_t202" alt="&quot;&quot;" style="position:absolute;left:0;text-align:left;margin-left:2.9pt;margin-top:22.65pt;width:479.05pt;height:8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" fillcolor="yellow" strokecolor="#0d0d0d [3069]" strokeweight="1pt">
                <v:textbox>
                  <w:txbxContent>
                    <w:p w14:paraId="1DCB9DC4" w14:textId="511466E5" w:rsidR="00326FBA" w:rsidRPr="0030572C" w:rsidRDefault="00326FBA" w:rsidP="00326FBA">
                      <w:pPr>
                        <w:spacing w:after="0"/>
                        <w:jc w:val="center"/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 w:rsidRPr="0030572C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Overall reduction in number of patients taking &gt; 120mg</w:t>
                      </w:r>
                      <w:r w:rsidR="00572FCA" w:rsidRPr="0030572C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/day</w:t>
                      </w:r>
                      <w:r w:rsidRPr="0030572C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="00572FCA" w:rsidRPr="0030572C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m</w:t>
                      </w:r>
                      <w:r w:rsidRPr="0030572C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orphine </w:t>
                      </w:r>
                      <w:r w:rsidR="00572FCA" w:rsidRPr="0030572C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e</w:t>
                      </w:r>
                      <w:r w:rsidRPr="0030572C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quivalent</w:t>
                      </w:r>
                      <w:r w:rsidR="00572FCA" w:rsidRPr="0030572C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30572C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across 47 practices in Greater Preston </w:t>
                      </w:r>
                      <w:r w:rsidR="00572FCA" w:rsidRPr="0030572C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SICBL</w:t>
                      </w:r>
                      <w:r w:rsidRPr="0030572C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and Chorley and South Ribble </w:t>
                      </w:r>
                      <w:r w:rsidR="00572FCA" w:rsidRPr="0030572C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SICBL</w:t>
                      </w:r>
                      <w:r w:rsidRPr="0030572C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from Aug-17 to </w:t>
                      </w:r>
                      <w:r w:rsidR="00D05E2B" w:rsidRPr="0030572C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Sep</w:t>
                      </w:r>
                      <w:r w:rsidRPr="0030572C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-23 </w:t>
                      </w:r>
                      <w:proofErr w:type="gramStart"/>
                      <w:r w:rsidRPr="0030572C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=  371</w:t>
                      </w:r>
                      <w:proofErr w:type="gramEnd"/>
                      <w:r w:rsidRPr="0030572C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patients (reduction from 580pts to 209pts) =                                                               </w:t>
                      </w:r>
                    </w:p>
                    <w:p w14:paraId="38BD125A" w14:textId="70C7CC3F" w:rsidR="00326FBA" w:rsidRPr="008324F5" w:rsidRDefault="00326FBA" w:rsidP="00326FBA">
                      <w:pPr>
                        <w:jc w:val="center"/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</w:rPr>
                      </w:pPr>
                      <w:r w:rsidRPr="008324F5">
                        <w:rPr>
                          <w:rFonts w:ascii="Calibri" w:hAnsi="Calibri" w:cstheme="minorBidi"/>
                          <w:b/>
                          <w:bCs/>
                          <w:color w:val="00A53F"/>
                          <w:kern w:val="24"/>
                          <w:sz w:val="36"/>
                          <w:szCs w:val="36"/>
                        </w:rPr>
                        <w:t>64% reduction</w:t>
                      </w:r>
                      <w:r w:rsidR="00151697">
                        <w:rPr>
                          <w:rFonts w:ascii="Calibri" w:hAnsi="Calibri" w:cstheme="minorBidi"/>
                          <w:b/>
                          <w:bCs/>
                          <w:color w:val="00A53F"/>
                          <w:kern w:val="24"/>
                          <w:sz w:val="36"/>
                          <w:szCs w:val="36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326F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EF741" wp14:editId="778B63B3">
                <wp:simplePos x="0" y="0"/>
                <wp:positionH relativeFrom="column">
                  <wp:posOffset>5316</wp:posOffset>
                </wp:positionH>
                <wp:positionV relativeFrom="paragraph">
                  <wp:posOffset>2910</wp:posOffset>
                </wp:positionV>
                <wp:extent cx="6165850" cy="265814"/>
                <wp:effectExtent l="0" t="0" r="6350" b="127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E4F042-6D43-415C-9130-3929441A179D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265814"/>
                        </a:xfrm>
                        <a:prstGeom prst="rect">
                          <a:avLst/>
                        </a:prstGeom>
                        <a:solidFill>
                          <a:srgbClr val="00A3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3E9B7F" w14:textId="77777777" w:rsidR="00326FBA" w:rsidRPr="00C13C5B" w:rsidRDefault="00326FBA" w:rsidP="009B475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A2A00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C13C5B">
                              <w:rPr>
                                <w:rFonts w:ascii="Arial" w:hAnsi="Arial" w:cs="Arial"/>
                                <w:b/>
                                <w:bCs/>
                                <w:color w:val="2A2A00"/>
                                <w:kern w:val="24"/>
                                <w:sz w:val="26"/>
                                <w:szCs w:val="26"/>
                              </w:rPr>
                              <w:t>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F741" id="TextBox 11" o:spid="_x0000_s1028" type="#_x0000_t202" alt="&quot;&quot;" style="position:absolute;left:0;text-align:left;margin-left:.4pt;margin-top:.25pt;width:485.5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" fillcolor="#00a399" stroked="f">
                <v:textbox>
                  <w:txbxContent>
                    <w:p w14:paraId="493E9B7F" w14:textId="77777777" w:rsidR="00326FBA" w:rsidRPr="00C13C5B" w:rsidRDefault="00326FBA" w:rsidP="009B475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A2A00"/>
                          <w:kern w:val="24"/>
                          <w:sz w:val="26"/>
                          <w:szCs w:val="26"/>
                        </w:rPr>
                      </w:pPr>
                      <w:r w:rsidRPr="00C13C5B">
                        <w:rPr>
                          <w:rFonts w:ascii="Arial" w:hAnsi="Arial" w:cs="Arial"/>
                          <w:b/>
                          <w:bCs/>
                          <w:color w:val="2A2A00"/>
                          <w:kern w:val="24"/>
                          <w:sz w:val="26"/>
                          <w:szCs w:val="26"/>
                        </w:rPr>
                        <w:t>Impact</w:t>
                      </w:r>
                    </w:p>
                  </w:txbxContent>
                </v:textbox>
              </v:shape>
            </w:pict>
          </mc:Fallback>
        </mc:AlternateContent>
      </w:r>
    </w:p>
    <w:p w14:paraId="28B83008" w14:textId="3A09D484" w:rsidR="00E01B44" w:rsidRDefault="00E01B44" w:rsidP="00E5361A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47677096" w14:textId="3D42BB11" w:rsidR="00E01B44" w:rsidRDefault="00E01B44" w:rsidP="00E5361A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348194B7" w14:textId="07B6AA26" w:rsidR="00E01B44" w:rsidRDefault="00E01B44" w:rsidP="00E5361A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40373EF5" w14:textId="6F30C87B" w:rsidR="00E01B44" w:rsidRDefault="00E01B44" w:rsidP="00E5361A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4C9D5AAF" w14:textId="183DDBAB" w:rsidR="00E01B44" w:rsidRDefault="00E01B44" w:rsidP="00E5361A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40770A27" w14:textId="33A1744A" w:rsidR="00E01B44" w:rsidRDefault="00E01B44" w:rsidP="00E5361A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2A73610D" w14:textId="6C28EF5A" w:rsidR="00E01B44" w:rsidRDefault="00E01B44" w:rsidP="00E5361A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00D12F96" w14:textId="562EB533" w:rsidR="00E01B44" w:rsidRDefault="00E01B44" w:rsidP="00E5361A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56D44208" w14:textId="33C9496E" w:rsidR="00E01B44" w:rsidRDefault="0095764A" w:rsidP="00E5361A">
      <w:pPr>
        <w:spacing w:after="0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  <w:r>
        <w:rPr>
          <w:noProof/>
        </w:rPr>
        <w:drawing>
          <wp:inline distT="0" distB="0" distL="0" distR="0" wp14:anchorId="4C12CF56" wp14:editId="08A8EFEF">
            <wp:extent cx="6021705" cy="2030819"/>
            <wp:effectExtent l="0" t="0" r="17145" b="7620"/>
            <wp:docPr id="1484337047" name="Chart 1" descr="Chart showing Total number of patients identified as taking &gt;120mg/day morphine equivalent has fallen from 580pts in 2017 to 209pts in 2023">
              <a:extLst xmlns:a="http://schemas.openxmlformats.org/drawingml/2006/main">
                <a:ext uri="{FF2B5EF4-FFF2-40B4-BE49-F238E27FC236}">
                  <a16:creationId xmlns:a16="http://schemas.microsoft.com/office/drawing/2014/main" id="{CDB9C318-FCC5-B542-6C02-0F8875D56C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BEEE304" w14:textId="77777777" w:rsidR="00E01B44" w:rsidRDefault="00E01B44" w:rsidP="00CB5158">
      <w:pPr>
        <w:spacing w:after="0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</w:p>
    <w:p w14:paraId="7CDCCFCF" w14:textId="77777777" w:rsidR="00E01B44" w:rsidRPr="00537C51" w:rsidRDefault="00E01B44" w:rsidP="00E5361A">
      <w:pPr>
        <w:spacing w:after="0"/>
        <w:jc w:val="center"/>
        <w:rPr>
          <w:rFonts w:ascii="Arial" w:eastAsiaTheme="minorEastAsia" w:hAnsi="Arial" w:cs="Arial"/>
          <w:b/>
          <w:bCs/>
          <w:sz w:val="4"/>
          <w:szCs w:val="4"/>
          <w:lang w:eastAsia="en-US"/>
        </w:rPr>
      </w:pPr>
    </w:p>
    <w:p w14:paraId="0234B74E" w14:textId="63E0ACC1" w:rsidR="00E01B44" w:rsidRPr="002B7680" w:rsidRDefault="00D05E2B" w:rsidP="00D05E2B">
      <w:pPr>
        <w:spacing w:after="0"/>
        <w:rPr>
          <w:rFonts w:ascii="Arial" w:eastAsiaTheme="minorEastAsia" w:hAnsi="Arial" w:cs="Arial"/>
          <w:b/>
          <w:bCs/>
          <w:sz w:val="20"/>
          <w:szCs w:val="20"/>
          <w:lang w:eastAsia="en-US"/>
        </w:rPr>
      </w:pPr>
      <w:r w:rsidRPr="002B7680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The Medicines Optimisation Team would like to thank </w:t>
      </w:r>
      <w:r w:rsidR="0014492E" w:rsidRPr="002B7680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all</w:t>
      </w:r>
      <w:r w:rsidRPr="002B7680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 the clinical and administration staff working across GP and CSR SICBLs for their tireless efforts over the past 6 years in reducing the numbers of patients taking these harmful doses of opioids.</w:t>
      </w:r>
    </w:p>
    <w:p w14:paraId="3FBA5470" w14:textId="77777777" w:rsidR="00E01B44" w:rsidRPr="0014492E" w:rsidRDefault="00E01B44" w:rsidP="00E5361A">
      <w:pPr>
        <w:spacing w:after="0"/>
        <w:jc w:val="center"/>
        <w:rPr>
          <w:rFonts w:ascii="Arial" w:eastAsiaTheme="minorEastAsia" w:hAnsi="Arial" w:cs="Arial"/>
          <w:b/>
          <w:bCs/>
          <w:sz w:val="10"/>
          <w:szCs w:val="10"/>
          <w:lang w:eastAsia="en-US"/>
        </w:rPr>
      </w:pPr>
    </w:p>
    <w:p w14:paraId="29F31E4C" w14:textId="699B78AB" w:rsidR="0014492E" w:rsidRPr="0014492E" w:rsidRDefault="0014492E" w:rsidP="0014492E">
      <w:pPr>
        <w:spacing w:after="120"/>
        <w:rPr>
          <w:rFonts w:ascii="Arial" w:eastAsiaTheme="minorEastAsia" w:hAnsi="Arial" w:cs="Arial"/>
          <w:sz w:val="20"/>
          <w:szCs w:val="20"/>
          <w:lang w:eastAsia="en-US"/>
        </w:rPr>
      </w:pPr>
      <w:r w:rsidRPr="0014492E">
        <w:rPr>
          <w:rFonts w:ascii="Arial" w:eastAsiaTheme="minorEastAsia" w:hAnsi="Arial" w:cs="Arial"/>
          <w:sz w:val="20"/>
          <w:szCs w:val="20"/>
          <w:lang w:eastAsia="en-US"/>
        </w:rPr>
        <w:t xml:space="preserve">A special mention goes to the following </w:t>
      </w:r>
      <w:r w:rsidR="00EB2457">
        <w:rPr>
          <w:rFonts w:ascii="Arial" w:eastAsiaTheme="minorEastAsia" w:hAnsi="Arial" w:cs="Arial"/>
          <w:sz w:val="20"/>
          <w:szCs w:val="20"/>
          <w:lang w:eastAsia="en-US"/>
        </w:rPr>
        <w:t>4</w:t>
      </w:r>
      <w:r w:rsidRPr="0014492E">
        <w:rPr>
          <w:rFonts w:ascii="Arial" w:eastAsiaTheme="minorEastAsia" w:hAnsi="Arial" w:cs="Arial"/>
          <w:sz w:val="20"/>
          <w:szCs w:val="20"/>
          <w:lang w:eastAsia="en-US"/>
        </w:rPr>
        <w:t xml:space="preserve"> practices who have managed to achieve 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the </w:t>
      </w:r>
      <w:r w:rsidR="00EB2457">
        <w:rPr>
          <w:rFonts w:ascii="Arial" w:eastAsiaTheme="minorEastAsia" w:hAnsi="Arial" w:cs="Arial"/>
          <w:sz w:val="20"/>
          <w:szCs w:val="20"/>
          <w:lang w:eastAsia="en-US"/>
        </w:rPr>
        <w:t>gold standard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 of having </w:t>
      </w:r>
      <w:r w:rsidRPr="0014492E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ZERO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 patients </w:t>
      </w:r>
      <w:r w:rsidR="00572FCA">
        <w:rPr>
          <w:rFonts w:ascii="Arial" w:eastAsiaTheme="minorEastAsia" w:hAnsi="Arial" w:cs="Arial"/>
          <w:sz w:val="20"/>
          <w:szCs w:val="20"/>
          <w:lang w:eastAsia="en-US"/>
        </w:rPr>
        <w:t>prescribed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 &gt;120mg/day morphine equivalent</w:t>
      </w:r>
      <w:r w:rsidR="00EB2457">
        <w:rPr>
          <w:rFonts w:ascii="Arial" w:eastAsiaTheme="minorEastAsia" w:hAnsi="Arial" w:cs="Arial"/>
          <w:sz w:val="20"/>
          <w:szCs w:val="20"/>
          <w:lang w:eastAsia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4492E" w14:paraId="7FF3A948" w14:textId="77777777" w:rsidTr="00556114">
        <w:trPr>
          <w:trHeight w:val="324"/>
        </w:trPr>
        <w:tc>
          <w:tcPr>
            <w:tcW w:w="4868" w:type="dxa"/>
            <w:shd w:val="clear" w:color="auto" w:fill="F7CAAC" w:themeFill="accent2" w:themeFillTint="66"/>
          </w:tcPr>
          <w:p w14:paraId="7102574F" w14:textId="3EC864B6" w:rsidR="0014492E" w:rsidRPr="00572FCA" w:rsidRDefault="0014492E" w:rsidP="00556114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lang w:eastAsia="en-US"/>
              </w:rPr>
            </w:pPr>
            <w:r w:rsidRPr="00572FCA">
              <w:rPr>
                <w:rFonts w:ascii="Arial" w:eastAsiaTheme="minorEastAsia" w:hAnsi="Arial" w:cs="Arial"/>
                <w:b/>
                <w:bCs/>
                <w:lang w:eastAsia="en-US"/>
              </w:rPr>
              <w:t>Dr Ali, Guttridge Medical Centre</w:t>
            </w:r>
          </w:p>
        </w:tc>
        <w:tc>
          <w:tcPr>
            <w:tcW w:w="4868" w:type="dxa"/>
            <w:shd w:val="clear" w:color="auto" w:fill="F7CAAC" w:themeFill="accent2" w:themeFillTint="66"/>
          </w:tcPr>
          <w:p w14:paraId="01DC6AA3" w14:textId="71E4C783" w:rsidR="0014492E" w:rsidRPr="00572FCA" w:rsidRDefault="0014492E" w:rsidP="00556114">
            <w:pPr>
              <w:spacing w:after="0"/>
              <w:jc w:val="center"/>
              <w:rPr>
                <w:rFonts w:ascii="Arial" w:eastAsiaTheme="minorEastAsia" w:hAnsi="Arial" w:cs="Arial"/>
                <w:lang w:eastAsia="en-US"/>
              </w:rPr>
            </w:pPr>
            <w:r w:rsidRPr="00572FCA">
              <w:rPr>
                <w:rFonts w:ascii="Arial" w:eastAsiaTheme="minorEastAsia" w:hAnsi="Arial" w:cs="Arial"/>
                <w:b/>
                <w:bCs/>
                <w:lang w:eastAsia="en-US"/>
              </w:rPr>
              <w:t>The New Hall Lane Practice</w:t>
            </w:r>
          </w:p>
        </w:tc>
      </w:tr>
      <w:tr w:rsidR="0014492E" w14:paraId="369D9B12" w14:textId="77777777" w:rsidTr="00556114">
        <w:trPr>
          <w:trHeight w:val="273"/>
        </w:trPr>
        <w:tc>
          <w:tcPr>
            <w:tcW w:w="4868" w:type="dxa"/>
            <w:shd w:val="clear" w:color="auto" w:fill="F7CAAC" w:themeFill="accent2" w:themeFillTint="66"/>
          </w:tcPr>
          <w:p w14:paraId="41B22698" w14:textId="592A8283" w:rsidR="0014492E" w:rsidRPr="00572FCA" w:rsidRDefault="00572FCA" w:rsidP="00556114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lang w:eastAsia="en-US"/>
              </w:rPr>
            </w:pPr>
            <w:r w:rsidRPr="00572FCA">
              <w:rPr>
                <w:rFonts w:ascii="Arial" w:eastAsiaTheme="minorEastAsia" w:hAnsi="Arial" w:cs="Arial"/>
                <w:b/>
                <w:bCs/>
                <w:lang w:eastAsia="en-US"/>
              </w:rPr>
              <w:t>St Fillan’s Medical Centre</w:t>
            </w:r>
          </w:p>
        </w:tc>
        <w:tc>
          <w:tcPr>
            <w:tcW w:w="4868" w:type="dxa"/>
            <w:shd w:val="clear" w:color="auto" w:fill="F7CAAC" w:themeFill="accent2" w:themeFillTint="66"/>
          </w:tcPr>
          <w:p w14:paraId="6A7F744D" w14:textId="2FF3F5D3" w:rsidR="0014492E" w:rsidRPr="00572FCA" w:rsidRDefault="00572FCA" w:rsidP="00556114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lang w:eastAsia="en-US"/>
              </w:rPr>
            </w:pPr>
            <w:r w:rsidRPr="00572FCA">
              <w:rPr>
                <w:rFonts w:ascii="Arial" w:eastAsiaTheme="minorEastAsia" w:hAnsi="Arial" w:cs="Arial"/>
                <w:b/>
                <w:bCs/>
                <w:lang w:eastAsia="en-US"/>
              </w:rPr>
              <w:t>Station Surgery</w:t>
            </w:r>
          </w:p>
        </w:tc>
      </w:tr>
    </w:tbl>
    <w:p w14:paraId="704B591A" w14:textId="77777777" w:rsidR="001C2C5C" w:rsidRPr="00F7084D" w:rsidRDefault="001C2C5C" w:rsidP="00BB26CD">
      <w:pPr>
        <w:spacing w:after="120"/>
        <w:jc w:val="both"/>
        <w:rPr>
          <w:rFonts w:ascii="Arial" w:eastAsiaTheme="minorEastAsia" w:hAnsi="Arial" w:cs="Arial"/>
          <w:sz w:val="2"/>
          <w:szCs w:val="2"/>
          <w:lang w:eastAsia="en-US"/>
        </w:rPr>
      </w:pPr>
    </w:p>
    <w:p w14:paraId="56AAD5C8" w14:textId="1F827534" w:rsidR="00EB2457" w:rsidRPr="0014492E" w:rsidRDefault="00EB2457" w:rsidP="00BB26CD">
      <w:pPr>
        <w:spacing w:after="12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>A further 8 practices are close to achieving the gold standard</w:t>
      </w:r>
      <w:r w:rsidR="00C518D5">
        <w:rPr>
          <w:rFonts w:ascii="Arial" w:eastAsiaTheme="minorEastAsia" w:hAnsi="Arial" w:cs="Arial"/>
          <w:sz w:val="20"/>
          <w:szCs w:val="20"/>
          <w:lang w:eastAsia="en-US"/>
        </w:rPr>
        <w:t>,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 having a </w:t>
      </w:r>
      <w:r w:rsidRPr="00EB2457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SINGLE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 patient prescribed &gt;120mg/day morphine equivalent.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EB2457" w14:paraId="2FE1EC97" w14:textId="77777777" w:rsidTr="00C518D5">
        <w:tc>
          <w:tcPr>
            <w:tcW w:w="2434" w:type="dxa"/>
            <w:shd w:val="clear" w:color="auto" w:fill="FBE4D5" w:themeFill="accent2" w:themeFillTint="33"/>
          </w:tcPr>
          <w:p w14:paraId="287AA8A6" w14:textId="6E417521" w:rsidR="00EB2457" w:rsidRPr="002B2632" w:rsidRDefault="002B2632" w:rsidP="002B2632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</w:pPr>
            <w:r w:rsidRPr="002B2632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  <w:t>Avenham Surgery</w:t>
            </w:r>
          </w:p>
        </w:tc>
        <w:tc>
          <w:tcPr>
            <w:tcW w:w="2434" w:type="dxa"/>
            <w:shd w:val="clear" w:color="auto" w:fill="FBE4D5" w:themeFill="accent2" w:themeFillTint="33"/>
          </w:tcPr>
          <w:p w14:paraId="04A49E08" w14:textId="0178B55A" w:rsidR="00EB2457" w:rsidRPr="002B2632" w:rsidRDefault="002B2632" w:rsidP="002B2632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  <w:t>Lane Ends Surgery</w:t>
            </w:r>
          </w:p>
        </w:tc>
        <w:tc>
          <w:tcPr>
            <w:tcW w:w="2434" w:type="dxa"/>
            <w:shd w:val="clear" w:color="auto" w:fill="FBE4D5" w:themeFill="accent2" w:themeFillTint="33"/>
          </w:tcPr>
          <w:p w14:paraId="3A4F5573" w14:textId="3626DEBE" w:rsidR="00EB2457" w:rsidRPr="002B2632" w:rsidRDefault="002B2632" w:rsidP="002B2632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  <w:t>Ribble Village HC</w:t>
            </w:r>
          </w:p>
        </w:tc>
        <w:tc>
          <w:tcPr>
            <w:tcW w:w="2434" w:type="dxa"/>
            <w:shd w:val="clear" w:color="auto" w:fill="FBE4D5" w:themeFill="accent2" w:themeFillTint="33"/>
          </w:tcPr>
          <w:p w14:paraId="108DEDA1" w14:textId="0DD68C1F" w:rsidR="00EB2457" w:rsidRPr="002B2632" w:rsidRDefault="002B2632" w:rsidP="002B2632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  <w:t>Dr Yerra, Guttridge MC</w:t>
            </w:r>
          </w:p>
        </w:tc>
      </w:tr>
      <w:tr w:rsidR="00EB2457" w14:paraId="786C6B23" w14:textId="77777777" w:rsidTr="00C822E3">
        <w:trPr>
          <w:trHeight w:val="250"/>
        </w:trPr>
        <w:tc>
          <w:tcPr>
            <w:tcW w:w="2434" w:type="dxa"/>
            <w:shd w:val="clear" w:color="auto" w:fill="FBE4D5" w:themeFill="accent2" w:themeFillTint="33"/>
          </w:tcPr>
          <w:p w14:paraId="093E320D" w14:textId="70E6140C" w:rsidR="00EB2457" w:rsidRPr="002B2632" w:rsidRDefault="002B2632" w:rsidP="002B2632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  <w:t>Clayton Brook Surgery</w:t>
            </w:r>
          </w:p>
        </w:tc>
        <w:tc>
          <w:tcPr>
            <w:tcW w:w="2434" w:type="dxa"/>
            <w:shd w:val="clear" w:color="auto" w:fill="FBE4D5" w:themeFill="accent2" w:themeFillTint="33"/>
          </w:tcPr>
          <w:p w14:paraId="3212E45B" w14:textId="57C23C6B" w:rsidR="00EB2457" w:rsidRPr="002B2632" w:rsidRDefault="00C518D5" w:rsidP="002B2632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  <w:t>New Longton Surgery</w:t>
            </w:r>
          </w:p>
        </w:tc>
        <w:tc>
          <w:tcPr>
            <w:tcW w:w="2434" w:type="dxa"/>
            <w:shd w:val="clear" w:color="auto" w:fill="FBE4D5" w:themeFill="accent2" w:themeFillTint="33"/>
          </w:tcPr>
          <w:p w14:paraId="19CF436A" w14:textId="74C4470A" w:rsidR="00EB2457" w:rsidRPr="002B2632" w:rsidRDefault="00C518D5" w:rsidP="002B2632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  <w:t>Dr Dawoud’s Surgery</w:t>
            </w:r>
          </w:p>
        </w:tc>
        <w:tc>
          <w:tcPr>
            <w:tcW w:w="2434" w:type="dxa"/>
            <w:shd w:val="clear" w:color="auto" w:fill="FBE4D5" w:themeFill="accent2" w:themeFillTint="33"/>
          </w:tcPr>
          <w:p w14:paraId="3F59F081" w14:textId="004038A1" w:rsidR="00EB2457" w:rsidRPr="002B2632" w:rsidRDefault="00C518D5" w:rsidP="002B2632">
            <w:pPr>
              <w:spacing w:after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  <w:t>The Village Surgeries</w:t>
            </w:r>
          </w:p>
        </w:tc>
      </w:tr>
    </w:tbl>
    <w:p w14:paraId="13F3CE95" w14:textId="6B4B15F4" w:rsidR="003F1249" w:rsidRPr="001C2C5C" w:rsidRDefault="00C518D5" w:rsidP="00DC3FBB">
      <w:pPr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  <w:r w:rsidRPr="001C2C5C">
        <w:rPr>
          <w:rFonts w:ascii="Arial" w:eastAsiaTheme="minorEastAsia" w:hAnsi="Arial" w:cs="Arial"/>
          <w:b/>
          <w:bCs/>
          <w:sz w:val="16"/>
          <w:szCs w:val="16"/>
          <w:lang w:eastAsia="en-US"/>
        </w:rPr>
        <w:t>All practices in GP &amp; CSR can learn more about their individual audit results by contacting your Medicines Optimisation Team pharmacist or technician.</w:t>
      </w:r>
    </w:p>
    <w:p w14:paraId="02D484F0" w14:textId="504F0BD7" w:rsidR="00DC3FBB" w:rsidRPr="00DC3FBB" w:rsidRDefault="009B05B1" w:rsidP="008E709D">
      <w:pPr>
        <w:spacing w:after="0" w:line="240" w:lineRule="auto"/>
        <w:jc w:val="both"/>
        <w:rPr>
          <w:rFonts w:ascii="Arial" w:eastAsiaTheme="minorEastAsia" w:hAnsi="Arial" w:cs="Arial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AA48"/>
          <w:sz w:val="36"/>
          <w:szCs w:val="36"/>
          <w:lang w:eastAsia="en-US"/>
        </w:rPr>
        <w:t>*</w:t>
      </w:r>
      <w:r w:rsidR="00075A57" w:rsidRPr="00BE5809">
        <w:rPr>
          <w:rFonts w:ascii="Arial" w:eastAsiaTheme="minorEastAsia" w:hAnsi="Arial" w:cs="Arial"/>
          <w:sz w:val="18"/>
          <w:szCs w:val="18"/>
          <w:lang w:eastAsia="en-US"/>
        </w:rPr>
        <w:t xml:space="preserve">Following the 2021 audit </w:t>
      </w:r>
      <w:r w:rsidR="009C1163" w:rsidRPr="00BE5809">
        <w:rPr>
          <w:rFonts w:ascii="Arial" w:eastAsiaTheme="minorEastAsia" w:hAnsi="Arial" w:cs="Arial"/>
          <w:sz w:val="18"/>
          <w:szCs w:val="18"/>
          <w:lang w:eastAsia="en-US"/>
        </w:rPr>
        <w:t xml:space="preserve">the FPM aligned </w:t>
      </w:r>
      <w:r w:rsidR="005440DD" w:rsidRPr="00BE5809">
        <w:rPr>
          <w:rFonts w:ascii="Arial" w:eastAsiaTheme="minorEastAsia" w:hAnsi="Arial" w:cs="Arial"/>
          <w:sz w:val="18"/>
          <w:szCs w:val="18"/>
          <w:lang w:eastAsia="en-US"/>
        </w:rPr>
        <w:t>its</w:t>
      </w:r>
      <w:r w:rsidR="009C1163" w:rsidRPr="00BE5809">
        <w:rPr>
          <w:rFonts w:ascii="Arial" w:eastAsiaTheme="minorEastAsia" w:hAnsi="Arial" w:cs="Arial"/>
          <w:sz w:val="18"/>
          <w:szCs w:val="18"/>
          <w:lang w:eastAsia="en-US"/>
        </w:rPr>
        <w:t xml:space="preserve"> </w:t>
      </w:r>
      <w:r w:rsidR="00D26610" w:rsidRPr="00BE5809">
        <w:rPr>
          <w:rFonts w:ascii="Arial" w:eastAsiaTheme="minorEastAsia" w:hAnsi="Arial" w:cs="Arial"/>
          <w:sz w:val="18"/>
          <w:szCs w:val="18"/>
          <w:lang w:eastAsia="en-US"/>
        </w:rPr>
        <w:t xml:space="preserve">opioid </w:t>
      </w:r>
      <w:r w:rsidR="00075A57" w:rsidRPr="00BE5809">
        <w:rPr>
          <w:rFonts w:ascii="Arial" w:eastAsiaTheme="minorEastAsia" w:hAnsi="Arial" w:cs="Arial"/>
          <w:sz w:val="18"/>
          <w:szCs w:val="18"/>
          <w:lang w:eastAsia="en-US"/>
        </w:rPr>
        <w:t xml:space="preserve">dose equivalencies </w:t>
      </w:r>
      <w:r w:rsidR="009C1163" w:rsidRPr="00BE5809">
        <w:rPr>
          <w:rFonts w:ascii="Arial" w:eastAsiaTheme="minorEastAsia" w:hAnsi="Arial" w:cs="Arial"/>
          <w:sz w:val="18"/>
          <w:szCs w:val="18"/>
          <w:lang w:eastAsia="en-US"/>
        </w:rPr>
        <w:t>to</w:t>
      </w:r>
      <w:r w:rsidR="00410240">
        <w:rPr>
          <w:rFonts w:ascii="Arial" w:eastAsiaTheme="minorEastAsia" w:hAnsi="Arial" w:cs="Arial"/>
          <w:sz w:val="18"/>
          <w:szCs w:val="18"/>
          <w:lang w:eastAsia="en-US"/>
        </w:rPr>
        <w:t xml:space="preserve"> </w:t>
      </w:r>
      <w:r w:rsidR="00F877B9">
        <w:rPr>
          <w:rFonts w:ascii="Arial" w:eastAsiaTheme="minorEastAsia" w:hAnsi="Arial" w:cs="Arial"/>
          <w:sz w:val="18"/>
          <w:szCs w:val="18"/>
          <w:lang w:eastAsia="en-US"/>
        </w:rPr>
        <w:t>less conservative equivalencies</w:t>
      </w:r>
      <w:r w:rsidR="009C1163" w:rsidRPr="00BE5809">
        <w:rPr>
          <w:rFonts w:ascii="Arial" w:eastAsiaTheme="minorEastAsia" w:hAnsi="Arial" w:cs="Arial"/>
          <w:sz w:val="18"/>
          <w:szCs w:val="18"/>
          <w:lang w:eastAsia="en-US"/>
        </w:rPr>
        <w:t xml:space="preserve"> within the BNF.</w:t>
      </w:r>
      <w:r w:rsidR="00BE2BD5" w:rsidRPr="00BE5809">
        <w:rPr>
          <w:rFonts w:ascii="Arial" w:eastAsiaTheme="minorEastAsia" w:hAnsi="Arial" w:cs="Arial"/>
          <w:sz w:val="18"/>
          <w:szCs w:val="18"/>
          <w:lang w:eastAsia="en-US"/>
        </w:rPr>
        <w:t xml:space="preserve"> </w:t>
      </w:r>
      <w:r w:rsidR="00C8321D">
        <w:rPr>
          <w:rFonts w:ascii="Arial" w:eastAsiaTheme="minorEastAsia" w:hAnsi="Arial" w:cs="Arial"/>
          <w:sz w:val="18"/>
          <w:szCs w:val="18"/>
          <w:lang w:eastAsia="en-US"/>
        </w:rPr>
        <w:t xml:space="preserve">As </w:t>
      </w:r>
      <w:r w:rsidR="00BE2BD5" w:rsidRPr="00BE5809">
        <w:rPr>
          <w:rFonts w:ascii="Arial" w:eastAsiaTheme="minorEastAsia" w:hAnsi="Arial" w:cs="Arial"/>
          <w:sz w:val="18"/>
          <w:szCs w:val="18"/>
          <w:lang w:eastAsia="en-US"/>
        </w:rPr>
        <w:t xml:space="preserve">2023 was the first audit to use these </w:t>
      </w:r>
      <w:r w:rsidR="00766C2A">
        <w:rPr>
          <w:rFonts w:ascii="Arial" w:eastAsiaTheme="minorEastAsia" w:hAnsi="Arial" w:cs="Arial"/>
          <w:sz w:val="18"/>
          <w:szCs w:val="18"/>
          <w:lang w:eastAsia="en-US"/>
        </w:rPr>
        <w:t>less conservative</w:t>
      </w:r>
      <w:r w:rsidR="00BE2BD5" w:rsidRPr="00BE5809">
        <w:rPr>
          <w:rFonts w:ascii="Arial" w:eastAsiaTheme="minorEastAsia" w:hAnsi="Arial" w:cs="Arial"/>
          <w:sz w:val="18"/>
          <w:szCs w:val="18"/>
          <w:lang w:eastAsia="en-US"/>
        </w:rPr>
        <w:t xml:space="preserve"> equivalencies</w:t>
      </w:r>
      <w:r w:rsidR="00C8321D">
        <w:rPr>
          <w:rFonts w:ascii="Arial" w:eastAsiaTheme="minorEastAsia" w:hAnsi="Arial" w:cs="Arial"/>
          <w:sz w:val="18"/>
          <w:szCs w:val="18"/>
          <w:lang w:eastAsia="en-US"/>
        </w:rPr>
        <w:t>,</w:t>
      </w:r>
      <w:r w:rsidR="00882141">
        <w:rPr>
          <w:rFonts w:ascii="Arial" w:eastAsiaTheme="minorEastAsia" w:hAnsi="Arial" w:cs="Arial"/>
          <w:sz w:val="18"/>
          <w:szCs w:val="18"/>
          <w:lang w:eastAsia="en-US"/>
        </w:rPr>
        <w:t xml:space="preserve"> </w:t>
      </w:r>
      <w:r w:rsidR="00AF7A33">
        <w:rPr>
          <w:rFonts w:ascii="Arial" w:eastAsiaTheme="minorEastAsia" w:hAnsi="Arial" w:cs="Arial"/>
          <w:sz w:val="18"/>
          <w:szCs w:val="18"/>
          <w:lang w:eastAsia="en-US"/>
        </w:rPr>
        <w:t>the reduction in patient numbers seen between 2021-2023 is in large part due to this</w:t>
      </w:r>
      <w:r w:rsidR="008C060D">
        <w:rPr>
          <w:rFonts w:ascii="Arial" w:eastAsiaTheme="minorEastAsia" w:hAnsi="Arial" w:cs="Arial"/>
          <w:sz w:val="18"/>
          <w:szCs w:val="18"/>
          <w:lang w:eastAsia="en-US"/>
        </w:rPr>
        <w:t xml:space="preserve"> change. </w:t>
      </w:r>
      <w:r w:rsidR="008D6E7E">
        <w:rPr>
          <w:rFonts w:ascii="Arial" w:eastAsiaTheme="minorEastAsia" w:hAnsi="Arial" w:cs="Arial"/>
          <w:sz w:val="18"/>
          <w:szCs w:val="18"/>
          <w:lang w:eastAsia="en-US"/>
        </w:rPr>
        <w:t xml:space="preserve">If this change had not </w:t>
      </w:r>
      <w:r w:rsidR="007E372C">
        <w:rPr>
          <w:rFonts w:ascii="Arial" w:eastAsiaTheme="minorEastAsia" w:hAnsi="Arial" w:cs="Arial"/>
          <w:sz w:val="18"/>
          <w:szCs w:val="18"/>
          <w:lang w:eastAsia="en-US"/>
        </w:rPr>
        <w:t>occurred,</w:t>
      </w:r>
      <w:r w:rsidR="008D6E7E">
        <w:rPr>
          <w:rFonts w:ascii="Arial" w:eastAsiaTheme="minorEastAsia" w:hAnsi="Arial" w:cs="Arial"/>
          <w:sz w:val="18"/>
          <w:szCs w:val="18"/>
          <w:lang w:eastAsia="en-US"/>
        </w:rPr>
        <w:t xml:space="preserve"> then p</w:t>
      </w:r>
      <w:r w:rsidR="008C7465">
        <w:rPr>
          <w:rFonts w:ascii="Arial" w:eastAsiaTheme="minorEastAsia" w:hAnsi="Arial" w:cs="Arial"/>
          <w:sz w:val="18"/>
          <w:szCs w:val="18"/>
          <w:lang w:eastAsia="en-US"/>
        </w:rPr>
        <w:t xml:space="preserve">atient numbers </w:t>
      </w:r>
      <w:r w:rsidR="007E372C">
        <w:rPr>
          <w:rFonts w:ascii="Arial" w:eastAsiaTheme="minorEastAsia" w:hAnsi="Arial" w:cs="Arial"/>
          <w:sz w:val="18"/>
          <w:szCs w:val="18"/>
          <w:lang w:eastAsia="en-US"/>
        </w:rPr>
        <w:t xml:space="preserve">would have </w:t>
      </w:r>
      <w:r w:rsidR="008428DA">
        <w:rPr>
          <w:rFonts w:ascii="Arial" w:eastAsiaTheme="minorEastAsia" w:hAnsi="Arial" w:cs="Arial"/>
          <w:sz w:val="18"/>
          <w:szCs w:val="18"/>
          <w:lang w:eastAsia="en-US"/>
        </w:rPr>
        <w:t>decreas</w:t>
      </w:r>
      <w:r w:rsidR="008C7465">
        <w:rPr>
          <w:rFonts w:ascii="Arial" w:eastAsiaTheme="minorEastAsia" w:hAnsi="Arial" w:cs="Arial"/>
          <w:sz w:val="18"/>
          <w:szCs w:val="18"/>
          <w:lang w:eastAsia="en-US"/>
        </w:rPr>
        <w:t xml:space="preserve">ed </w:t>
      </w:r>
      <w:r w:rsidR="00C7191C">
        <w:rPr>
          <w:rFonts w:ascii="Arial" w:eastAsiaTheme="minorEastAsia" w:hAnsi="Arial" w:cs="Arial"/>
          <w:sz w:val="18"/>
          <w:szCs w:val="18"/>
          <w:lang w:eastAsia="en-US"/>
        </w:rPr>
        <w:t>by 21 in GP SICBL and increased by 14 in CSR SICB</w:t>
      </w:r>
      <w:r w:rsidR="007E372C">
        <w:rPr>
          <w:rFonts w:ascii="Arial" w:eastAsiaTheme="minorEastAsia" w:hAnsi="Arial" w:cs="Arial"/>
          <w:sz w:val="18"/>
          <w:szCs w:val="18"/>
          <w:lang w:eastAsia="en-US"/>
        </w:rPr>
        <w:t xml:space="preserve">L. </w:t>
      </w:r>
      <w:r w:rsidR="007E372C" w:rsidRPr="00576B3C">
        <w:rPr>
          <w:rFonts w:ascii="Arial" w:eastAsiaTheme="minorEastAsia" w:hAnsi="Arial" w:cs="Arial"/>
          <w:b/>
          <w:bCs/>
          <w:sz w:val="18"/>
          <w:szCs w:val="18"/>
          <w:lang w:eastAsia="en-US"/>
        </w:rPr>
        <w:t xml:space="preserve">This </w:t>
      </w:r>
      <w:r w:rsidR="00A23C55" w:rsidRPr="00576B3C">
        <w:rPr>
          <w:rFonts w:ascii="Arial" w:eastAsiaTheme="minorEastAsia" w:hAnsi="Arial" w:cs="Arial"/>
          <w:b/>
          <w:bCs/>
          <w:sz w:val="18"/>
          <w:szCs w:val="18"/>
          <w:lang w:eastAsia="en-US"/>
        </w:rPr>
        <w:t>indicat</w:t>
      </w:r>
      <w:r w:rsidR="007E372C" w:rsidRPr="00576B3C">
        <w:rPr>
          <w:rFonts w:ascii="Arial" w:eastAsiaTheme="minorEastAsia" w:hAnsi="Arial" w:cs="Arial"/>
          <w:b/>
          <w:bCs/>
          <w:sz w:val="18"/>
          <w:szCs w:val="18"/>
          <w:lang w:eastAsia="en-US"/>
        </w:rPr>
        <w:t>es that</w:t>
      </w:r>
      <w:r w:rsidR="006D4FDF" w:rsidRPr="00576B3C">
        <w:rPr>
          <w:rFonts w:ascii="Arial" w:eastAsiaTheme="minorEastAsia" w:hAnsi="Arial" w:cs="Arial"/>
          <w:b/>
          <w:bCs/>
          <w:sz w:val="18"/>
          <w:szCs w:val="18"/>
          <w:lang w:eastAsia="en-US"/>
        </w:rPr>
        <w:t xml:space="preserve"> </w:t>
      </w:r>
      <w:r w:rsidR="00FB700E" w:rsidRPr="00576B3C">
        <w:rPr>
          <w:rFonts w:ascii="Arial" w:eastAsiaTheme="minorEastAsia" w:hAnsi="Arial" w:cs="Arial"/>
          <w:b/>
          <w:bCs/>
          <w:sz w:val="18"/>
          <w:szCs w:val="18"/>
          <w:lang w:eastAsia="en-US"/>
        </w:rPr>
        <w:t xml:space="preserve">some </w:t>
      </w:r>
      <w:r w:rsidR="00C36063" w:rsidRPr="00576B3C">
        <w:rPr>
          <w:rFonts w:ascii="Arial" w:eastAsiaTheme="minorEastAsia" w:hAnsi="Arial" w:cs="Arial"/>
          <w:b/>
          <w:bCs/>
          <w:sz w:val="18"/>
          <w:szCs w:val="18"/>
          <w:lang w:eastAsia="en-US"/>
        </w:rPr>
        <w:t>HCP</w:t>
      </w:r>
      <w:r w:rsidR="006D4FDF" w:rsidRPr="00576B3C">
        <w:rPr>
          <w:rFonts w:ascii="Arial" w:eastAsiaTheme="minorEastAsia" w:hAnsi="Arial" w:cs="Arial"/>
          <w:b/>
          <w:bCs/>
          <w:sz w:val="18"/>
          <w:szCs w:val="18"/>
          <w:lang w:eastAsia="en-US"/>
        </w:rPr>
        <w:t xml:space="preserve">s are </w:t>
      </w:r>
      <w:r w:rsidR="00472826" w:rsidRPr="00576B3C">
        <w:rPr>
          <w:rFonts w:ascii="Arial" w:eastAsiaTheme="minorEastAsia" w:hAnsi="Arial" w:cs="Arial"/>
          <w:b/>
          <w:bCs/>
          <w:sz w:val="18"/>
          <w:szCs w:val="18"/>
          <w:lang w:eastAsia="en-US"/>
        </w:rPr>
        <w:t>continu</w:t>
      </w:r>
      <w:r w:rsidR="00FB700E" w:rsidRPr="00576B3C">
        <w:rPr>
          <w:rFonts w:ascii="Arial" w:eastAsiaTheme="minorEastAsia" w:hAnsi="Arial" w:cs="Arial"/>
          <w:b/>
          <w:bCs/>
          <w:sz w:val="18"/>
          <w:szCs w:val="18"/>
          <w:lang w:eastAsia="en-US"/>
        </w:rPr>
        <w:t>ing</w:t>
      </w:r>
      <w:r w:rsidR="00FC36E3" w:rsidRPr="00576B3C">
        <w:rPr>
          <w:rFonts w:ascii="Arial" w:eastAsiaTheme="minorEastAsia" w:hAnsi="Arial" w:cs="Arial"/>
          <w:b/>
          <w:bCs/>
          <w:sz w:val="18"/>
          <w:szCs w:val="18"/>
          <w:lang w:eastAsia="en-US"/>
        </w:rPr>
        <w:t xml:space="preserve"> </w:t>
      </w:r>
      <w:r w:rsidR="00472826" w:rsidRPr="00576B3C">
        <w:rPr>
          <w:rFonts w:ascii="Arial" w:eastAsiaTheme="minorEastAsia" w:hAnsi="Arial" w:cs="Arial"/>
          <w:b/>
          <w:bCs/>
          <w:sz w:val="18"/>
          <w:szCs w:val="18"/>
          <w:lang w:eastAsia="en-US"/>
        </w:rPr>
        <w:t xml:space="preserve">to </w:t>
      </w:r>
      <w:r w:rsidR="00FB700E" w:rsidRPr="00576B3C">
        <w:rPr>
          <w:rFonts w:ascii="Arial" w:eastAsiaTheme="minorEastAsia" w:hAnsi="Arial" w:cs="Arial"/>
          <w:b/>
          <w:bCs/>
          <w:sz w:val="18"/>
          <w:szCs w:val="18"/>
          <w:lang w:eastAsia="en-US"/>
        </w:rPr>
        <w:t>escalate doses above the recommended maximum of 120mg/day morphine equivalent.</w:t>
      </w:r>
      <w:r w:rsidR="00FB700E">
        <w:rPr>
          <w:rFonts w:ascii="Arial" w:eastAsiaTheme="minorEastAsia" w:hAnsi="Arial" w:cs="Arial"/>
          <w:sz w:val="18"/>
          <w:szCs w:val="18"/>
          <w:lang w:eastAsia="en-US"/>
        </w:rPr>
        <w:t xml:space="preserve"> </w:t>
      </w:r>
    </w:p>
    <w:p w14:paraId="486B4445" w14:textId="4C7BF926" w:rsidR="00F90CAE" w:rsidRDefault="00F90CAE" w:rsidP="002B7680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en-US"/>
        </w:rPr>
      </w:pPr>
      <w:r w:rsidRPr="00705B19">
        <w:rPr>
          <w:rFonts w:ascii="Arial" w:eastAsiaTheme="minorHAnsi" w:hAnsi="Arial" w:cs="Arial"/>
          <w:bCs/>
          <w:noProof/>
          <w:sz w:val="16"/>
          <w:szCs w:val="16"/>
          <w:lang w:eastAsia="en-US"/>
        </w:rPr>
        <w:lastRenderedPageBreak/>
        <mc:AlternateContent>
          <mc:Choice Requires="wps">
            <w:drawing>
              <wp:inline distT="0" distB="0" distL="0" distR="0" wp14:anchorId="4261AE49" wp14:editId="3867F485">
                <wp:extent cx="2377440" cy="244549"/>
                <wp:effectExtent l="0" t="0" r="22860" b="22225"/>
                <wp:docPr id="7740289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445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0EE3F" w14:textId="77777777" w:rsidR="00F90CAE" w:rsidRPr="003B7F3E" w:rsidRDefault="00F90CAE" w:rsidP="00F90CA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Prescribing Tip </w:t>
                            </w:r>
                            <w:proofErr w:type="gramStart"/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3B7F3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61AE49" id="_x0000_s1029" type="#_x0000_t202" style="width:187.2pt;height: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" fillcolor="#8eaadb [1940]" strokecolor="#1f3763 [1604]" strokeweight="1.25pt">
                <v:textbox>
                  <w:txbxContent>
                    <w:p w14:paraId="2400EE3F" w14:textId="77777777" w:rsidR="00F90CAE" w:rsidRPr="003B7F3E" w:rsidRDefault="00F90CAE" w:rsidP="00F90CAE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Prescribing Tip </w:t>
                      </w:r>
                      <w:proofErr w:type="gramStart"/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3B7F3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84E2D3" w14:textId="77777777" w:rsidR="009A0C4F" w:rsidRPr="001E4BC8" w:rsidRDefault="009A0C4F" w:rsidP="002B7680">
      <w:pPr>
        <w:spacing w:after="0" w:line="240" w:lineRule="auto"/>
        <w:jc w:val="center"/>
        <w:rPr>
          <w:rFonts w:ascii="Arial" w:eastAsiaTheme="minorEastAsia" w:hAnsi="Arial" w:cs="Arial"/>
          <w:sz w:val="18"/>
          <w:szCs w:val="18"/>
          <w:lang w:eastAsia="en-US"/>
        </w:rPr>
      </w:pPr>
    </w:p>
    <w:p w14:paraId="5B72D4E5" w14:textId="7B84F6ED" w:rsidR="00F90CAE" w:rsidRPr="00867B02" w:rsidRDefault="00F90CAE" w:rsidP="00454D6D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867B02">
        <w:rPr>
          <w:rFonts w:ascii="Arial" w:hAnsi="Arial" w:cs="Arial"/>
          <w:b/>
          <w:bCs/>
        </w:rPr>
        <w:t>2023 High Strength Opioid Audit Results</w:t>
      </w:r>
      <w:r>
        <w:rPr>
          <w:rFonts w:ascii="Arial" w:hAnsi="Arial" w:cs="Arial"/>
          <w:b/>
          <w:bCs/>
        </w:rPr>
        <w:t xml:space="preserve"> – West Lancashire SICBL</w:t>
      </w:r>
    </w:p>
    <w:p w14:paraId="4DAA94FC" w14:textId="7A53F7F0" w:rsidR="00151697" w:rsidRDefault="00D1283F" w:rsidP="00C76A21">
      <w:pPr>
        <w:spacing w:after="12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Due to ICB restructuring, in 2023 the Central Lancashire Medicines Optimisation Team also audited 12 practices in </w:t>
      </w:r>
      <w:r w:rsidRPr="001C2C5C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West Lancashire SICBL 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for the first time. </w:t>
      </w:r>
      <w:r w:rsidR="00891839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>This</w:t>
      </w:r>
      <w:r w:rsidR="0023172C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 xml:space="preserve"> b</w:t>
      </w:r>
      <w:r w:rsidR="0023172C" w:rsidRPr="00EF6060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 xml:space="preserve">aseline audit </w:t>
      </w:r>
      <w:r w:rsidR="0023172C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>determined the number of patients prescribed high dose opioids &gt;120mg/day morphine equivalent</w:t>
      </w:r>
      <w:r w:rsidR="008F4FFA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 xml:space="preserve"> across West Lancashire at </w:t>
      </w:r>
      <w:r w:rsidR="004E23ED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 xml:space="preserve">a </w:t>
      </w:r>
      <w:r w:rsidR="008F4FFA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>practice level</w:t>
      </w:r>
      <w:r w:rsidR="0023172C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>.</w:t>
      </w:r>
      <w:r w:rsidR="0023172C" w:rsidRPr="00EF6060">
        <w:rPr>
          <w:rFonts w:ascii="Arial" w:eastAsiaTheme="minorEastAsia" w:hAnsi="Arial" w:cs="Arial"/>
          <w:b/>
          <w:bCs/>
          <w:color w:val="000000" w:themeColor="text1"/>
          <w:sz w:val="20"/>
          <w:szCs w:val="20"/>
          <w:lang w:eastAsia="en-US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en-US"/>
        </w:rPr>
        <w:t>A total of 108 patients were found to be prescribed &gt;120mg/day morphine equivalent</w:t>
      </w:r>
      <w:r w:rsidR="00504EC9">
        <w:rPr>
          <w:rFonts w:ascii="Arial" w:eastAsiaTheme="minorEastAsia" w:hAnsi="Arial" w:cs="Arial"/>
          <w:sz w:val="20"/>
          <w:szCs w:val="20"/>
          <w:lang w:eastAsia="en-US"/>
        </w:rPr>
        <w:t xml:space="preserve">. </w:t>
      </w:r>
    </w:p>
    <w:p w14:paraId="361C2DBA" w14:textId="414A86DE" w:rsidR="00EF55C7" w:rsidRPr="00EF55C7" w:rsidRDefault="00EF55C7" w:rsidP="00EF55C7">
      <w:pPr>
        <w:spacing w:after="120"/>
        <w:jc w:val="center"/>
        <w:rPr>
          <w:rFonts w:ascii="Arial" w:eastAsiaTheme="minorEastAsia" w:hAnsi="Arial" w:cs="Arial"/>
          <w:b/>
          <w:bCs/>
          <w:sz w:val="20"/>
          <w:szCs w:val="20"/>
          <w:lang w:eastAsia="en-US"/>
        </w:rPr>
      </w:pPr>
      <w:r w:rsidRPr="00EF55C7">
        <w:rPr>
          <w:rFonts w:ascii="Arial" w:eastAsiaTheme="minorEastAsia" w:hAnsi="Arial" w:cs="Arial"/>
          <w:b/>
          <w:bCs/>
          <w:sz w:val="20"/>
          <w:szCs w:val="20"/>
          <w:lang w:val="en-US" w:eastAsia="en-US"/>
        </w:rPr>
        <w:t>Total number of patients identified as taking &gt; 120mg</w:t>
      </w:r>
      <w:r>
        <w:rPr>
          <w:rFonts w:ascii="Arial" w:eastAsiaTheme="minorEastAsia" w:hAnsi="Arial" w:cs="Arial"/>
          <w:b/>
          <w:bCs/>
          <w:sz w:val="20"/>
          <w:szCs w:val="20"/>
          <w:lang w:val="en-US" w:eastAsia="en-US"/>
        </w:rPr>
        <w:t>/day</w:t>
      </w:r>
      <w:r w:rsidRPr="00EF55C7">
        <w:rPr>
          <w:rFonts w:ascii="Arial" w:eastAsiaTheme="minorEastAsia" w:hAnsi="Arial" w:cs="Arial"/>
          <w:b/>
          <w:bCs/>
          <w:sz w:val="20"/>
          <w:szCs w:val="20"/>
          <w:lang w:val="en-US" w:eastAsia="en-US"/>
        </w:rPr>
        <w:t xml:space="preserve"> morphine </w:t>
      </w:r>
      <w:proofErr w:type="gramStart"/>
      <w:r w:rsidRPr="00EF55C7">
        <w:rPr>
          <w:rFonts w:ascii="Arial" w:eastAsiaTheme="minorEastAsia" w:hAnsi="Arial" w:cs="Arial"/>
          <w:b/>
          <w:bCs/>
          <w:sz w:val="20"/>
          <w:szCs w:val="20"/>
          <w:lang w:val="en-US" w:eastAsia="en-US"/>
        </w:rPr>
        <w:t>equivalent</w:t>
      </w:r>
      <w:proofErr w:type="gramEnd"/>
    </w:p>
    <w:p w14:paraId="1A7FFEDA" w14:textId="64EA588E" w:rsidR="00D83AB7" w:rsidRDefault="001C1817" w:rsidP="0017060A">
      <w:pPr>
        <w:spacing w:after="12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0D54391F" wp14:editId="5880EE47">
            <wp:extent cx="6187634" cy="2667000"/>
            <wp:effectExtent l="0" t="0" r="3810" b="0"/>
            <wp:docPr id="544444081" name="Picture 1" descr="A graph of a number of patien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444081" name="Picture 1" descr="A graph of a number of patients&#10;&#10;Description automatically generated with medium confidenc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99362" cy="26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CA80D" w14:textId="3BE63DB1" w:rsidR="00EF55C7" w:rsidRPr="000D3FCE" w:rsidRDefault="00EF55C7" w:rsidP="000D3FCE">
      <w:pPr>
        <w:spacing w:after="120"/>
        <w:jc w:val="center"/>
        <w:rPr>
          <w:rFonts w:ascii="Arial" w:eastAsiaTheme="minorEastAsia" w:hAnsi="Arial" w:cs="Arial"/>
          <w:b/>
          <w:bCs/>
          <w:sz w:val="20"/>
          <w:szCs w:val="20"/>
          <w:lang w:eastAsia="en-US"/>
        </w:rPr>
      </w:pPr>
      <w:r w:rsidRPr="00EF55C7">
        <w:rPr>
          <w:rFonts w:ascii="Arial" w:eastAsiaTheme="minorEastAsia" w:hAnsi="Arial" w:cs="Arial"/>
          <w:b/>
          <w:bCs/>
          <w:sz w:val="20"/>
          <w:szCs w:val="20"/>
          <w:lang w:val="en-US" w:eastAsia="en-US"/>
        </w:rPr>
        <w:t>Total number of patients identified as taking &gt; 120mg</w:t>
      </w:r>
      <w:r>
        <w:rPr>
          <w:rFonts w:ascii="Arial" w:eastAsiaTheme="minorEastAsia" w:hAnsi="Arial" w:cs="Arial"/>
          <w:b/>
          <w:bCs/>
          <w:sz w:val="20"/>
          <w:szCs w:val="20"/>
          <w:lang w:val="en-US" w:eastAsia="en-US"/>
        </w:rPr>
        <w:t>/day</w:t>
      </w:r>
      <w:r w:rsidRPr="00EF55C7">
        <w:rPr>
          <w:rFonts w:ascii="Arial" w:eastAsiaTheme="minorEastAsia" w:hAnsi="Arial" w:cs="Arial"/>
          <w:b/>
          <w:bCs/>
          <w:sz w:val="20"/>
          <w:szCs w:val="20"/>
          <w:lang w:val="en-US" w:eastAsia="en-US"/>
        </w:rPr>
        <w:t xml:space="preserve"> morphine equivalent</w:t>
      </w:r>
      <w:r>
        <w:rPr>
          <w:rFonts w:ascii="Arial" w:eastAsiaTheme="minorEastAsia" w:hAnsi="Arial" w:cs="Arial"/>
          <w:b/>
          <w:bCs/>
          <w:sz w:val="20"/>
          <w:szCs w:val="20"/>
          <w:lang w:val="en-US" w:eastAsia="en-US"/>
        </w:rPr>
        <w:t xml:space="preserve"> </w:t>
      </w:r>
      <w:r w:rsidRPr="001C5425">
        <w:rPr>
          <w:rFonts w:ascii="Arial" w:eastAsiaTheme="minorEastAsia" w:hAnsi="Arial" w:cs="Arial"/>
          <w:b/>
          <w:bCs/>
          <w:color w:val="C00000"/>
          <w:sz w:val="20"/>
          <w:szCs w:val="20"/>
          <w:lang w:val="en-US" w:eastAsia="en-US"/>
        </w:rPr>
        <w:t xml:space="preserve">PER </w:t>
      </w:r>
      <w:r w:rsidR="000D3FCE" w:rsidRPr="001C5425">
        <w:rPr>
          <w:rFonts w:ascii="Arial" w:eastAsiaTheme="minorEastAsia" w:hAnsi="Arial" w:cs="Arial"/>
          <w:b/>
          <w:bCs/>
          <w:color w:val="C00000"/>
          <w:sz w:val="20"/>
          <w:szCs w:val="20"/>
          <w:lang w:val="en-US" w:eastAsia="en-US"/>
        </w:rPr>
        <w:t xml:space="preserve">1000 </w:t>
      </w:r>
      <w:proofErr w:type="gramStart"/>
      <w:r w:rsidR="000D3FCE" w:rsidRPr="001C5425">
        <w:rPr>
          <w:rFonts w:ascii="Arial" w:eastAsiaTheme="minorEastAsia" w:hAnsi="Arial" w:cs="Arial"/>
          <w:b/>
          <w:bCs/>
          <w:color w:val="C00000"/>
          <w:sz w:val="20"/>
          <w:szCs w:val="20"/>
          <w:lang w:val="en-US" w:eastAsia="en-US"/>
        </w:rPr>
        <w:t>patients</w:t>
      </w:r>
      <w:proofErr w:type="gramEnd"/>
    </w:p>
    <w:p w14:paraId="0FFB8182" w14:textId="7E52582C" w:rsidR="00226C7F" w:rsidRDefault="008B676F" w:rsidP="000D3FCE">
      <w:pPr>
        <w:spacing w:after="12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380D9249" wp14:editId="134C8135">
            <wp:extent cx="6188710" cy="2627630"/>
            <wp:effectExtent l="0" t="0" r="2540" b="1270"/>
            <wp:docPr id="1611275933" name="Picture 1" descr="BAR CHART SHOWING NUMBERS OF PATIENTS IDENTIFIED AS TAKING OVER 120MG MORPHINE EQUIVALENT PER ONE THOUSAND PATIENTS IN GP PRACTICES ACROSS WEST LANCA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275933" name="Picture 1" descr="BAR CHART SHOWING NUMBERS OF PATIENTS IDENTIFIED AS TAKING OVER 120MG MORPHINE EQUIVALENT PER ONE THOUSAND PATIENTS IN GP PRACTICES ACROSS WEST LANCASHIR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82F45" w14:textId="1E59016B" w:rsidR="00811B08" w:rsidRPr="0014492E" w:rsidRDefault="00504EC9" w:rsidP="00662B2E">
      <w:pPr>
        <w:spacing w:after="120"/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A special mention goes to </w:t>
      </w:r>
      <w:r w:rsidR="00D1283F">
        <w:rPr>
          <w:rFonts w:ascii="Arial" w:eastAsiaTheme="minorEastAsia" w:hAnsi="Arial" w:cs="Arial"/>
          <w:sz w:val="20"/>
          <w:szCs w:val="20"/>
          <w:lang w:eastAsia="en-US"/>
        </w:rPr>
        <w:t xml:space="preserve">2 practices 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who are </w:t>
      </w:r>
      <w:r w:rsidR="00D1283F">
        <w:rPr>
          <w:rFonts w:ascii="Arial" w:eastAsiaTheme="minorEastAsia" w:hAnsi="Arial" w:cs="Arial"/>
          <w:sz w:val="20"/>
          <w:szCs w:val="20"/>
          <w:lang w:eastAsia="en-US"/>
        </w:rPr>
        <w:t xml:space="preserve">close to achieving the gold standard, having a </w:t>
      </w:r>
      <w:r w:rsidR="00D1283F" w:rsidRPr="00EB2457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SINGLE</w:t>
      </w:r>
      <w:r w:rsidR="00D1283F">
        <w:rPr>
          <w:rFonts w:ascii="Arial" w:eastAsiaTheme="minorEastAsia" w:hAnsi="Arial" w:cs="Arial"/>
          <w:sz w:val="20"/>
          <w:szCs w:val="20"/>
          <w:lang w:eastAsia="en-US"/>
        </w:rPr>
        <w:t xml:space="preserve"> patient prescribed &gt;120mg/day morphine equivalent.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11B08" w14:paraId="4BCF59A5" w14:textId="77777777" w:rsidTr="00811B08">
        <w:tc>
          <w:tcPr>
            <w:tcW w:w="4868" w:type="dxa"/>
            <w:shd w:val="clear" w:color="auto" w:fill="FBE4D5" w:themeFill="accent2" w:themeFillTint="33"/>
          </w:tcPr>
          <w:p w14:paraId="307D0D80" w14:textId="1CE68006" w:rsidR="00811B08" w:rsidRPr="00811B08" w:rsidRDefault="00811B08" w:rsidP="00811B08">
            <w:pPr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</w:pPr>
            <w:r w:rsidRPr="00811B08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  <w:t>Burscough Family Practice</w:t>
            </w:r>
          </w:p>
        </w:tc>
        <w:tc>
          <w:tcPr>
            <w:tcW w:w="4868" w:type="dxa"/>
            <w:shd w:val="clear" w:color="auto" w:fill="FBE4D5" w:themeFill="accent2" w:themeFillTint="33"/>
          </w:tcPr>
          <w:p w14:paraId="487BAE02" w14:textId="7DF5725C" w:rsidR="00811B08" w:rsidRPr="00811B08" w:rsidRDefault="00811B08" w:rsidP="00811B08">
            <w:pPr>
              <w:spacing w:before="60" w:after="6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US"/>
              </w:rPr>
              <w:t>Aughton Surgery</w:t>
            </w:r>
          </w:p>
        </w:tc>
      </w:tr>
    </w:tbl>
    <w:p w14:paraId="4678A57D" w14:textId="245AEFFB" w:rsidR="002C2A1E" w:rsidRPr="00CE0F53" w:rsidRDefault="00C822E3" w:rsidP="00F86283">
      <w:pPr>
        <w:pBdr>
          <w:bottom w:val="single" w:sz="6" w:space="6" w:color="auto"/>
        </w:pBdr>
        <w:spacing w:before="60"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en-US"/>
        </w:rPr>
      </w:pPr>
      <w:r>
        <w:rPr>
          <w:rFonts w:ascii="Arial" w:eastAsiaTheme="minorEastAsia" w:hAnsi="Arial" w:cs="Arial"/>
          <w:b/>
          <w:bCs/>
          <w:sz w:val="16"/>
          <w:szCs w:val="16"/>
          <w:lang w:eastAsia="en-US"/>
        </w:rPr>
        <w:t>All 12 audited practices in WL</w:t>
      </w:r>
      <w:r w:rsidRPr="001C2C5C">
        <w:rPr>
          <w:rFonts w:ascii="Arial" w:eastAsiaTheme="minorEastAsia" w:hAnsi="Arial" w:cs="Arial"/>
          <w:b/>
          <w:bCs/>
          <w:sz w:val="16"/>
          <w:szCs w:val="16"/>
          <w:lang w:eastAsia="en-US"/>
        </w:rPr>
        <w:t xml:space="preserve"> can learn more about their individual audit results by contacting your Medicines Optimisation Team pharmacist or technician.</w:t>
      </w:r>
    </w:p>
    <w:p w14:paraId="0A0B9C3C" w14:textId="35A37F54" w:rsidR="00E5361A" w:rsidRDefault="00C00B0D" w:rsidP="001E4BC8">
      <w:pPr>
        <w:spacing w:before="60" w:after="0"/>
        <w:jc w:val="center"/>
        <w:rPr>
          <w:rFonts w:ascii="Arial" w:eastAsiaTheme="minorEastAsia" w:hAnsi="Arial" w:cs="Arial"/>
          <w:color w:val="000000" w:themeColor="text1"/>
          <w:sz w:val="20"/>
          <w:szCs w:val="20"/>
          <w:lang w:eastAsia="en-US"/>
        </w:rPr>
      </w:pPr>
      <w:r w:rsidRPr="001B4C14">
        <w:rPr>
          <w:rFonts w:ascii="Arial" w:eastAsiaTheme="minorEastAsia" w:hAnsi="Arial" w:cs="Arial"/>
          <w:b/>
          <w:bCs/>
          <w:sz w:val="16"/>
          <w:szCs w:val="16"/>
          <w:lang w:eastAsia="en-US"/>
        </w:rPr>
        <w:t>To contact the Medicines Optimisation Team please phone 01772 2143</w:t>
      </w:r>
      <w:r w:rsidR="0030164A" w:rsidRPr="001B4C14">
        <w:rPr>
          <w:rFonts w:ascii="Arial" w:eastAsiaTheme="minorEastAsia" w:hAnsi="Arial" w:cs="Arial"/>
          <w:b/>
          <w:bCs/>
          <w:sz w:val="16"/>
          <w:szCs w:val="16"/>
          <w:lang w:eastAsia="en-US"/>
        </w:rPr>
        <w:t>02</w:t>
      </w:r>
    </w:p>
    <w:p w14:paraId="0AD4BC6A" w14:textId="3676E3BD" w:rsidR="005B1FD2" w:rsidRPr="00E5361A" w:rsidRDefault="00C00B0D" w:rsidP="00E5361A">
      <w:pPr>
        <w:spacing w:after="0"/>
        <w:jc w:val="center"/>
        <w:rPr>
          <w:rStyle w:val="Hyperlink"/>
          <w:rFonts w:ascii="Arial" w:eastAsiaTheme="minorEastAsia" w:hAnsi="Arial" w:cs="Arial"/>
          <w:color w:val="000000" w:themeColor="text1"/>
          <w:sz w:val="20"/>
          <w:szCs w:val="20"/>
          <w:u w:val="none"/>
          <w:lang w:eastAsia="en-US"/>
        </w:rPr>
      </w:pPr>
      <w:r w:rsidRPr="00363C60">
        <w:rPr>
          <w:rFonts w:asciiTheme="minorHAnsi" w:eastAsiaTheme="minorHAnsi" w:hAnsiTheme="minorHAnsi" w:cstheme="minorHAnsi"/>
          <w:b/>
          <w:color w:val="C00000"/>
          <w:sz w:val="16"/>
          <w:szCs w:val="16"/>
          <w:lang w:eastAsia="en-US"/>
        </w:rPr>
        <w:t xml:space="preserve">If you have any suggestions for future topics to cover in our prescribing </w:t>
      </w:r>
      <w:r w:rsidR="009132FD" w:rsidRPr="00363C60">
        <w:rPr>
          <w:rFonts w:asciiTheme="minorHAnsi" w:eastAsiaTheme="minorHAnsi" w:hAnsiTheme="minorHAnsi" w:cstheme="minorHAnsi"/>
          <w:b/>
          <w:color w:val="C00000"/>
          <w:sz w:val="16"/>
          <w:szCs w:val="16"/>
          <w:lang w:eastAsia="en-US"/>
        </w:rPr>
        <w:t>tips,</w:t>
      </w:r>
      <w:r w:rsidRPr="00363C60">
        <w:rPr>
          <w:rFonts w:asciiTheme="minorHAnsi" w:eastAsiaTheme="minorHAnsi" w:hAnsiTheme="minorHAnsi" w:cstheme="minorHAnsi"/>
          <w:b/>
          <w:color w:val="C00000"/>
          <w:sz w:val="16"/>
          <w:szCs w:val="16"/>
          <w:lang w:eastAsia="en-US"/>
        </w:rPr>
        <w:t xml:space="preserve"> please contact </w:t>
      </w:r>
      <w:hyperlink r:id="rId15" w:history="1">
        <w:r w:rsidR="00F570BF" w:rsidRPr="00883A93">
          <w:rPr>
            <w:rStyle w:val="Hyperlink"/>
            <w:rFonts w:asciiTheme="minorHAnsi" w:eastAsiaTheme="minorHAnsi" w:hAnsiTheme="minorHAnsi" w:cstheme="minorHAnsi"/>
            <w:b/>
            <w:sz w:val="16"/>
            <w:szCs w:val="16"/>
            <w:lang w:eastAsia="en-US"/>
          </w:rPr>
          <w:t>Nicola.schaffel@nhs.net</w:t>
        </w:r>
      </w:hyperlink>
    </w:p>
    <w:p w14:paraId="37C38EEF" w14:textId="30725B6C" w:rsidR="00681EB0" w:rsidRPr="008A10D4" w:rsidRDefault="006B59AD" w:rsidP="00E5361A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8A10D4">
        <w:rPr>
          <w:rStyle w:val="Hyperlink"/>
          <w:rFonts w:asciiTheme="minorHAnsi" w:eastAsiaTheme="minorHAnsi" w:hAnsiTheme="minorHAnsi" w:cstheme="minorHAnsi"/>
          <w:b/>
          <w:color w:val="auto"/>
          <w:sz w:val="16"/>
          <w:szCs w:val="16"/>
          <w:u w:val="none"/>
          <w:lang w:eastAsia="en-US"/>
        </w:rPr>
        <w:t>All content accurate and correct on the date of issue of this tip.</w:t>
      </w:r>
    </w:p>
    <w:sectPr w:rsidR="00681EB0" w:rsidRPr="008A10D4" w:rsidSect="00E01230">
      <w:headerReference w:type="default" r:id="rId16"/>
      <w:pgSz w:w="11906" w:h="16838"/>
      <w:pgMar w:top="1440" w:right="1080" w:bottom="1440" w:left="108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6F75" w14:textId="77777777" w:rsidR="00E01230" w:rsidRDefault="00E01230">
      <w:pPr>
        <w:spacing w:after="0" w:line="240" w:lineRule="auto"/>
      </w:pPr>
      <w:r>
        <w:separator/>
      </w:r>
    </w:p>
  </w:endnote>
  <w:endnote w:type="continuationSeparator" w:id="0">
    <w:p w14:paraId="3E7D4C6A" w14:textId="77777777" w:rsidR="00E01230" w:rsidRDefault="00E01230">
      <w:pPr>
        <w:spacing w:after="0" w:line="240" w:lineRule="auto"/>
      </w:pPr>
      <w:r>
        <w:continuationSeparator/>
      </w:r>
    </w:p>
  </w:endnote>
  <w:endnote w:type="continuationNotice" w:id="1">
    <w:p w14:paraId="7C2054D2" w14:textId="77777777" w:rsidR="00E01230" w:rsidRDefault="00E012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4F7D" w14:textId="77777777" w:rsidR="00E01230" w:rsidRDefault="00E01230">
      <w:pPr>
        <w:spacing w:after="0" w:line="240" w:lineRule="auto"/>
      </w:pPr>
      <w:r>
        <w:separator/>
      </w:r>
    </w:p>
  </w:footnote>
  <w:footnote w:type="continuationSeparator" w:id="0">
    <w:p w14:paraId="6425A15D" w14:textId="77777777" w:rsidR="00E01230" w:rsidRDefault="00E01230">
      <w:pPr>
        <w:spacing w:after="0" w:line="240" w:lineRule="auto"/>
      </w:pPr>
      <w:r>
        <w:continuationSeparator/>
      </w:r>
    </w:p>
  </w:footnote>
  <w:footnote w:type="continuationNotice" w:id="1">
    <w:p w14:paraId="7726ADE5" w14:textId="77777777" w:rsidR="00E01230" w:rsidRDefault="00E012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76ED" w14:textId="3643E528" w:rsidR="00305C95" w:rsidRPr="0042428A" w:rsidRDefault="00C001C1" w:rsidP="00305C95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20F48AB" wp14:editId="1D1181CB">
          <wp:simplePos x="0" y="0"/>
          <wp:positionH relativeFrom="column">
            <wp:posOffset>4918884</wp:posOffset>
          </wp:positionH>
          <wp:positionV relativeFrom="paragraph">
            <wp:posOffset>-61065</wp:posOffset>
          </wp:positionV>
          <wp:extent cx="1432140" cy="619125"/>
          <wp:effectExtent l="0" t="0" r="0" b="0"/>
          <wp:wrapNone/>
          <wp:docPr id="3" name="Picture 3" descr="Blue and White MLCSU Clinic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lue and White MLCSU Clinica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14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16F416FE" wp14:editId="165DE650">
          <wp:simplePos x="0" y="0"/>
          <wp:positionH relativeFrom="column">
            <wp:posOffset>3268701</wp:posOffset>
          </wp:positionH>
          <wp:positionV relativeFrom="paragraph">
            <wp:posOffset>-67466</wp:posOffset>
          </wp:positionV>
          <wp:extent cx="920979" cy="601926"/>
          <wp:effectExtent l="0" t="0" r="0" b="8255"/>
          <wp:wrapNone/>
          <wp:docPr id="4" name="Picture 4" descr="NHS Lancashire and South Cumbria AC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HS Lancashire and South Cumbria ACB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979" cy="601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C95" w:rsidRPr="000B325A">
      <w:rPr>
        <w:rFonts w:ascii="Arial" w:hAnsi="Arial" w:cs="Arial"/>
        <w:sz w:val="20"/>
        <w:szCs w:val="20"/>
      </w:rPr>
      <w:t>P</w:t>
    </w:r>
    <w:r w:rsidR="00305C95" w:rsidRPr="0042428A">
      <w:rPr>
        <w:rFonts w:ascii="Arial" w:hAnsi="Arial" w:cs="Arial"/>
        <w:sz w:val="20"/>
        <w:szCs w:val="20"/>
      </w:rPr>
      <w:t xml:space="preserve">rescribing tip number: </w:t>
    </w:r>
    <w:r w:rsidR="004752CC">
      <w:rPr>
        <w:rFonts w:ascii="Arial" w:hAnsi="Arial" w:cs="Arial"/>
        <w:sz w:val="20"/>
        <w:szCs w:val="20"/>
      </w:rPr>
      <w:t>429</w:t>
    </w:r>
  </w:p>
  <w:p w14:paraId="7CF38347" w14:textId="29DC908B" w:rsidR="007F77C0" w:rsidRPr="0042428A" w:rsidRDefault="00305C95" w:rsidP="00622C26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42428A">
      <w:rPr>
        <w:rFonts w:ascii="Arial" w:hAnsi="Arial" w:cs="Arial"/>
        <w:sz w:val="20"/>
        <w:szCs w:val="20"/>
      </w:rPr>
      <w:t xml:space="preserve">Date: </w:t>
    </w:r>
    <w:r w:rsidR="004752CC">
      <w:rPr>
        <w:rFonts w:ascii="Arial" w:hAnsi="Arial" w:cs="Arial"/>
        <w:sz w:val="20"/>
        <w:szCs w:val="20"/>
      </w:rPr>
      <w:t>22</w:t>
    </w:r>
    <w:r w:rsidR="004752CC" w:rsidRPr="004752CC">
      <w:rPr>
        <w:rFonts w:ascii="Arial" w:hAnsi="Arial" w:cs="Arial"/>
        <w:sz w:val="20"/>
        <w:szCs w:val="20"/>
        <w:vertAlign w:val="superscript"/>
      </w:rPr>
      <w:t>nd</w:t>
    </w:r>
    <w:r w:rsidR="004752CC">
      <w:rPr>
        <w:rFonts w:ascii="Arial" w:hAnsi="Arial" w:cs="Arial"/>
        <w:sz w:val="20"/>
        <w:szCs w:val="20"/>
      </w:rPr>
      <w:t xml:space="preserve"> February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29D"/>
    <w:multiLevelType w:val="multilevel"/>
    <w:tmpl w:val="BF7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40AA7"/>
    <w:multiLevelType w:val="hybridMultilevel"/>
    <w:tmpl w:val="B34CFA8E"/>
    <w:lvl w:ilvl="0" w:tplc="D4520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02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E9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C7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C9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EC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22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469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E67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78257B5"/>
    <w:multiLevelType w:val="hybridMultilevel"/>
    <w:tmpl w:val="1524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F32A1"/>
    <w:multiLevelType w:val="multilevel"/>
    <w:tmpl w:val="015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3D31F7"/>
    <w:multiLevelType w:val="hybridMultilevel"/>
    <w:tmpl w:val="4B0C7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33DE5"/>
    <w:multiLevelType w:val="multilevel"/>
    <w:tmpl w:val="781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946E4"/>
    <w:multiLevelType w:val="hybridMultilevel"/>
    <w:tmpl w:val="F9246E72"/>
    <w:lvl w:ilvl="0" w:tplc="64720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6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D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0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6B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A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C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04147"/>
    <w:multiLevelType w:val="hybridMultilevel"/>
    <w:tmpl w:val="554837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6448">
    <w:abstractNumId w:val="6"/>
  </w:num>
  <w:num w:numId="2" w16cid:durableId="1267424891">
    <w:abstractNumId w:val="3"/>
  </w:num>
  <w:num w:numId="3" w16cid:durableId="1391272994">
    <w:abstractNumId w:val="4"/>
  </w:num>
  <w:num w:numId="4" w16cid:durableId="1224831107">
    <w:abstractNumId w:val="5"/>
  </w:num>
  <w:num w:numId="5" w16cid:durableId="48652778">
    <w:abstractNumId w:val="0"/>
  </w:num>
  <w:num w:numId="6" w16cid:durableId="378936557">
    <w:abstractNumId w:val="2"/>
  </w:num>
  <w:num w:numId="7" w16cid:durableId="1200047721">
    <w:abstractNumId w:val="1"/>
  </w:num>
  <w:num w:numId="8" w16cid:durableId="19801058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D"/>
    <w:rsid w:val="00024900"/>
    <w:rsid w:val="000621F6"/>
    <w:rsid w:val="00075A57"/>
    <w:rsid w:val="0009011C"/>
    <w:rsid w:val="000A767B"/>
    <w:rsid w:val="000B325A"/>
    <w:rsid w:val="000D3FCE"/>
    <w:rsid w:val="00107EAF"/>
    <w:rsid w:val="00132F93"/>
    <w:rsid w:val="0014492E"/>
    <w:rsid w:val="00151697"/>
    <w:rsid w:val="0017060A"/>
    <w:rsid w:val="00187120"/>
    <w:rsid w:val="00192FD7"/>
    <w:rsid w:val="001B4C14"/>
    <w:rsid w:val="001C1745"/>
    <w:rsid w:val="001C1817"/>
    <w:rsid w:val="001C2C5C"/>
    <w:rsid w:val="001C5425"/>
    <w:rsid w:val="001C6C3B"/>
    <w:rsid w:val="001D3D51"/>
    <w:rsid w:val="001E4BC8"/>
    <w:rsid w:val="001E6E1C"/>
    <w:rsid w:val="002015D4"/>
    <w:rsid w:val="00206B6D"/>
    <w:rsid w:val="00226C7F"/>
    <w:rsid w:val="0023172C"/>
    <w:rsid w:val="00232A5D"/>
    <w:rsid w:val="002359A2"/>
    <w:rsid w:val="00244F14"/>
    <w:rsid w:val="0024595D"/>
    <w:rsid w:val="00247ED8"/>
    <w:rsid w:val="00264A5E"/>
    <w:rsid w:val="002849BB"/>
    <w:rsid w:val="00287921"/>
    <w:rsid w:val="00294BDE"/>
    <w:rsid w:val="002B2632"/>
    <w:rsid w:val="002B685A"/>
    <w:rsid w:val="002B7680"/>
    <w:rsid w:val="002C2A1E"/>
    <w:rsid w:val="002F5C53"/>
    <w:rsid w:val="0030164A"/>
    <w:rsid w:val="00303811"/>
    <w:rsid w:val="00304CCD"/>
    <w:rsid w:val="0030572C"/>
    <w:rsid w:val="00305C95"/>
    <w:rsid w:val="0031260E"/>
    <w:rsid w:val="003219DA"/>
    <w:rsid w:val="00326FBA"/>
    <w:rsid w:val="00327F5B"/>
    <w:rsid w:val="00341F69"/>
    <w:rsid w:val="00360647"/>
    <w:rsid w:val="00363C60"/>
    <w:rsid w:val="00386347"/>
    <w:rsid w:val="00386476"/>
    <w:rsid w:val="00395C1C"/>
    <w:rsid w:val="003A672D"/>
    <w:rsid w:val="003E4EF3"/>
    <w:rsid w:val="003F1249"/>
    <w:rsid w:val="0040065B"/>
    <w:rsid w:val="0040712D"/>
    <w:rsid w:val="00410240"/>
    <w:rsid w:val="0042428A"/>
    <w:rsid w:val="004403A7"/>
    <w:rsid w:val="00454D6D"/>
    <w:rsid w:val="0046208F"/>
    <w:rsid w:val="00466865"/>
    <w:rsid w:val="00472826"/>
    <w:rsid w:val="004752CC"/>
    <w:rsid w:val="0049287D"/>
    <w:rsid w:val="004935FE"/>
    <w:rsid w:val="004A141E"/>
    <w:rsid w:val="004C113B"/>
    <w:rsid w:val="004E23ED"/>
    <w:rsid w:val="004E4E63"/>
    <w:rsid w:val="00504EC9"/>
    <w:rsid w:val="00511793"/>
    <w:rsid w:val="00537C51"/>
    <w:rsid w:val="005440DD"/>
    <w:rsid w:val="00555A7F"/>
    <w:rsid w:val="00556114"/>
    <w:rsid w:val="00572FCA"/>
    <w:rsid w:val="005742A3"/>
    <w:rsid w:val="00576B3C"/>
    <w:rsid w:val="00577299"/>
    <w:rsid w:val="005827E0"/>
    <w:rsid w:val="00585282"/>
    <w:rsid w:val="005971C4"/>
    <w:rsid w:val="005B1FA9"/>
    <w:rsid w:val="005B1FD2"/>
    <w:rsid w:val="005B64D9"/>
    <w:rsid w:val="005D1ECC"/>
    <w:rsid w:val="005E1092"/>
    <w:rsid w:val="005E4EF4"/>
    <w:rsid w:val="005E519A"/>
    <w:rsid w:val="005E780B"/>
    <w:rsid w:val="005F7895"/>
    <w:rsid w:val="0061157D"/>
    <w:rsid w:val="00611FF7"/>
    <w:rsid w:val="00622C26"/>
    <w:rsid w:val="00622CED"/>
    <w:rsid w:val="00625F39"/>
    <w:rsid w:val="00640A6F"/>
    <w:rsid w:val="0064184C"/>
    <w:rsid w:val="00662B2E"/>
    <w:rsid w:val="0066327A"/>
    <w:rsid w:val="00664568"/>
    <w:rsid w:val="00681EB0"/>
    <w:rsid w:val="006A3605"/>
    <w:rsid w:val="006A71BA"/>
    <w:rsid w:val="006B3AAA"/>
    <w:rsid w:val="006B59AD"/>
    <w:rsid w:val="006B65D4"/>
    <w:rsid w:val="006D2217"/>
    <w:rsid w:val="006D4FDF"/>
    <w:rsid w:val="006E5481"/>
    <w:rsid w:val="006F2645"/>
    <w:rsid w:val="007074FB"/>
    <w:rsid w:val="00714916"/>
    <w:rsid w:val="00735E66"/>
    <w:rsid w:val="00736DB6"/>
    <w:rsid w:val="007471C9"/>
    <w:rsid w:val="00757E2E"/>
    <w:rsid w:val="00766C2A"/>
    <w:rsid w:val="00785C8B"/>
    <w:rsid w:val="007D5345"/>
    <w:rsid w:val="007E372C"/>
    <w:rsid w:val="007E6DB8"/>
    <w:rsid w:val="007F77C0"/>
    <w:rsid w:val="00811B08"/>
    <w:rsid w:val="008324F5"/>
    <w:rsid w:val="008428DA"/>
    <w:rsid w:val="0086271C"/>
    <w:rsid w:val="00867B02"/>
    <w:rsid w:val="00874BAD"/>
    <w:rsid w:val="00882141"/>
    <w:rsid w:val="00890828"/>
    <w:rsid w:val="00891839"/>
    <w:rsid w:val="008A0AF8"/>
    <w:rsid w:val="008A10D4"/>
    <w:rsid w:val="008A4C51"/>
    <w:rsid w:val="008A5995"/>
    <w:rsid w:val="008B676F"/>
    <w:rsid w:val="008B6EB5"/>
    <w:rsid w:val="008C006F"/>
    <w:rsid w:val="008C060D"/>
    <w:rsid w:val="008C7465"/>
    <w:rsid w:val="008D0DFE"/>
    <w:rsid w:val="008D2CD2"/>
    <w:rsid w:val="008D423D"/>
    <w:rsid w:val="008D6E7E"/>
    <w:rsid w:val="008E4DF2"/>
    <w:rsid w:val="008E709D"/>
    <w:rsid w:val="008F04B5"/>
    <w:rsid w:val="008F4FFA"/>
    <w:rsid w:val="008F5FD4"/>
    <w:rsid w:val="009132FD"/>
    <w:rsid w:val="00944D3A"/>
    <w:rsid w:val="0095764A"/>
    <w:rsid w:val="009904C0"/>
    <w:rsid w:val="00995B03"/>
    <w:rsid w:val="009A0C4F"/>
    <w:rsid w:val="009B05B1"/>
    <w:rsid w:val="009B4758"/>
    <w:rsid w:val="009C1163"/>
    <w:rsid w:val="009C64B7"/>
    <w:rsid w:val="009E1725"/>
    <w:rsid w:val="00A03972"/>
    <w:rsid w:val="00A05733"/>
    <w:rsid w:val="00A11228"/>
    <w:rsid w:val="00A23C55"/>
    <w:rsid w:val="00AB7234"/>
    <w:rsid w:val="00AE7641"/>
    <w:rsid w:val="00AF4895"/>
    <w:rsid w:val="00AF7A33"/>
    <w:rsid w:val="00B0515E"/>
    <w:rsid w:val="00B22354"/>
    <w:rsid w:val="00B54294"/>
    <w:rsid w:val="00B650AF"/>
    <w:rsid w:val="00B76758"/>
    <w:rsid w:val="00BB26CD"/>
    <w:rsid w:val="00BC525B"/>
    <w:rsid w:val="00BE2BD5"/>
    <w:rsid w:val="00BE5809"/>
    <w:rsid w:val="00C001C1"/>
    <w:rsid w:val="00C00B0D"/>
    <w:rsid w:val="00C13C5B"/>
    <w:rsid w:val="00C25C25"/>
    <w:rsid w:val="00C36063"/>
    <w:rsid w:val="00C44128"/>
    <w:rsid w:val="00C518D5"/>
    <w:rsid w:val="00C54A59"/>
    <w:rsid w:val="00C7191C"/>
    <w:rsid w:val="00C76A21"/>
    <w:rsid w:val="00C822E3"/>
    <w:rsid w:val="00C8321D"/>
    <w:rsid w:val="00C91777"/>
    <w:rsid w:val="00C95AD1"/>
    <w:rsid w:val="00CB5158"/>
    <w:rsid w:val="00CB6255"/>
    <w:rsid w:val="00CE0F53"/>
    <w:rsid w:val="00D04324"/>
    <w:rsid w:val="00D04CA8"/>
    <w:rsid w:val="00D05E2B"/>
    <w:rsid w:val="00D0719C"/>
    <w:rsid w:val="00D1283F"/>
    <w:rsid w:val="00D16374"/>
    <w:rsid w:val="00D20CC0"/>
    <w:rsid w:val="00D26610"/>
    <w:rsid w:val="00D35694"/>
    <w:rsid w:val="00D44765"/>
    <w:rsid w:val="00D65615"/>
    <w:rsid w:val="00D83AB7"/>
    <w:rsid w:val="00D966AD"/>
    <w:rsid w:val="00DC3FBB"/>
    <w:rsid w:val="00DC4419"/>
    <w:rsid w:val="00DE7FBA"/>
    <w:rsid w:val="00E01230"/>
    <w:rsid w:val="00E01B44"/>
    <w:rsid w:val="00E270DF"/>
    <w:rsid w:val="00E42C92"/>
    <w:rsid w:val="00E5361A"/>
    <w:rsid w:val="00E634F5"/>
    <w:rsid w:val="00EB2457"/>
    <w:rsid w:val="00EC6F98"/>
    <w:rsid w:val="00EE5EE0"/>
    <w:rsid w:val="00EE7F60"/>
    <w:rsid w:val="00EF55C7"/>
    <w:rsid w:val="00EF6060"/>
    <w:rsid w:val="00F023EB"/>
    <w:rsid w:val="00F0655C"/>
    <w:rsid w:val="00F570BF"/>
    <w:rsid w:val="00F57404"/>
    <w:rsid w:val="00F66AB4"/>
    <w:rsid w:val="00F67BB5"/>
    <w:rsid w:val="00F7084D"/>
    <w:rsid w:val="00F71B06"/>
    <w:rsid w:val="00F86283"/>
    <w:rsid w:val="00F877B9"/>
    <w:rsid w:val="00F90CAE"/>
    <w:rsid w:val="00FB0CB5"/>
    <w:rsid w:val="00FB6A86"/>
    <w:rsid w:val="00FB700E"/>
    <w:rsid w:val="00FC2EFC"/>
    <w:rsid w:val="00FC36E3"/>
    <w:rsid w:val="00FC4962"/>
    <w:rsid w:val="00FD309F"/>
    <w:rsid w:val="00FD33B4"/>
    <w:rsid w:val="0376EE2B"/>
    <w:rsid w:val="03A25816"/>
    <w:rsid w:val="0875C939"/>
    <w:rsid w:val="09FDC11D"/>
    <w:rsid w:val="0BAD69FB"/>
    <w:rsid w:val="0C0FAA0C"/>
    <w:rsid w:val="0FA1C78F"/>
    <w:rsid w:val="187DD95A"/>
    <w:rsid w:val="1BB47DFD"/>
    <w:rsid w:val="1BE2521B"/>
    <w:rsid w:val="1D504E5E"/>
    <w:rsid w:val="23865EB2"/>
    <w:rsid w:val="26BDFF74"/>
    <w:rsid w:val="27CAEAC4"/>
    <w:rsid w:val="2AAB4E84"/>
    <w:rsid w:val="3046E4DC"/>
    <w:rsid w:val="329784B2"/>
    <w:rsid w:val="3B1D64B7"/>
    <w:rsid w:val="3D4B5248"/>
    <w:rsid w:val="3E550579"/>
    <w:rsid w:val="3EE722A9"/>
    <w:rsid w:val="41AC7356"/>
    <w:rsid w:val="44CE5F92"/>
    <w:rsid w:val="466A2FF3"/>
    <w:rsid w:val="48060054"/>
    <w:rsid w:val="4BFBE189"/>
    <w:rsid w:val="4C952C98"/>
    <w:rsid w:val="55E3DBB9"/>
    <w:rsid w:val="5819F90F"/>
    <w:rsid w:val="5A87374C"/>
    <w:rsid w:val="5C455CC4"/>
    <w:rsid w:val="5CA15469"/>
    <w:rsid w:val="5F56361D"/>
    <w:rsid w:val="62A2CF67"/>
    <w:rsid w:val="64A84D99"/>
    <w:rsid w:val="66441DFA"/>
    <w:rsid w:val="6CF25325"/>
    <w:rsid w:val="6DDE2892"/>
    <w:rsid w:val="6E4786DF"/>
    <w:rsid w:val="6FB6CA19"/>
    <w:rsid w:val="7058A66D"/>
    <w:rsid w:val="7C851748"/>
    <w:rsid w:val="7ED11201"/>
    <w:rsid w:val="7F4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F27BF"/>
  <w15:chartTrackingRefBased/>
  <w15:docId w15:val="{9953C710-6EBE-4C66-A454-31403F62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0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0B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4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62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318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pm.ac.uk/opioids-aware-clinical-use-opioids/opioids-long-term-pai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icola.schaffel@nhs.ne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8342826934022335"/>
          <c:y val="4.01757769326980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7194976830544084"/>
          <c:y val="0.19480704357292361"/>
          <c:w val="0.80128228709458604"/>
          <c:h val="0.697009000402153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'[High Strength Opioids - DATA COLLECTION 2023.xlsx]2023 HSO Data Collection'!$D$43</c:f>
              <c:strCache>
                <c:ptCount val="1"/>
                <c:pt idx="0">
                  <c:v>Total number of patients identified as taking &gt;120mg/day morphine equivalent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1E1-4915-8788-9ED6C257EDA4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1E1-4915-8788-9ED6C257EDA4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1E1-4915-8788-9ED6C257ED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'[High Strength Opioids - DATA COLLECTION 2023.xlsx]2023 HSO Data Collection'!$C$44:$C$46</c:f>
              <c:strCache>
                <c:ptCount val="3"/>
                <c:pt idx="0">
                  <c:v>Aug 17</c:v>
                </c:pt>
                <c:pt idx="1">
                  <c:v>Sep 21</c:v>
                </c:pt>
                <c:pt idx="2">
                  <c:v>Sep 23</c:v>
                </c:pt>
              </c:strCache>
            </c:strRef>
          </c:cat>
          <c:val>
            <c:numRef>
              <c:f>'[High Strength Opioids - DATA COLLECTION 2023.xlsx]2023 HSO Data Collection'!$D$44:$D$46</c:f>
              <c:numCache>
                <c:formatCode>General</c:formatCode>
                <c:ptCount val="3"/>
                <c:pt idx="0">
                  <c:v>580</c:v>
                </c:pt>
                <c:pt idx="1">
                  <c:v>335</c:v>
                </c:pt>
                <c:pt idx="2">
                  <c:v>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1E1-4915-8788-9ED6C257ED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3111280"/>
        <c:axId val="673108040"/>
      </c:barChart>
      <c:catAx>
        <c:axId val="67311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3108040"/>
        <c:crosses val="autoZero"/>
        <c:auto val="1"/>
        <c:lblAlgn val="ctr"/>
        <c:lblOffset val="100"/>
        <c:noMultiLvlLbl val="0"/>
      </c:catAx>
      <c:valAx>
        <c:axId val="673108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/>
                  <a:t>Number</a:t>
                </a:r>
                <a:r>
                  <a:rPr lang="en-US" sz="1100" baseline="0"/>
                  <a:t> of Patients</a:t>
                </a:r>
              </a:p>
              <a:p>
                <a:pPr>
                  <a:defRPr sz="1100"/>
                </a:pPr>
                <a:endParaRPr lang="en-US" sz="11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3111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2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  <_dlc_DocId xmlns="9ecf9374-0d71-4a51-a9c5-198dd68970ed">ZTN2ZK5Q2N6R-32785368-349351</_dlc_DocId>
    <_dlc_DocIdUrl xmlns="9ecf9374-0d71-4a51-a9c5-198dd68970ed">
      <Url>https://csucloudservices.sharepoint.com/teams/quality/medicine/_layouts/15/DocIdRedir.aspx?ID=ZTN2ZK5Q2N6R-32785368-349351</Url>
      <Description>ZTN2ZK5Q2N6R-32785368-349351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7" ma:contentTypeDescription="Create a new document." ma:contentTypeScope="" ma:versionID="943d45c21eca57f6a03f8b41f16151d7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aecd4213beaa9431b20d16e4ee8eb5bf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D8419-B9D0-4428-AFE7-A493662ED5E6}">
  <ds:schemaRefs>
    <ds:schemaRef ds:uri="9ecf9374-0d71-4a51-a9c5-198dd68970ed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68f04dcd-1aad-4718-b4ef-cb5a94bb72b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F5F6EF-9385-487A-9842-208028304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2DD09-E387-4699-A4DB-45D1149217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797DED-3C3C-454D-876F-417C0DE81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McFall (MLCSU)</dc:creator>
  <cp:keywords/>
  <dc:description/>
  <cp:lastModifiedBy>Philip Haydock (MLCSU)</cp:lastModifiedBy>
  <cp:revision>2</cp:revision>
  <dcterms:created xsi:type="dcterms:W3CDTF">2024-02-22T14:04:00Z</dcterms:created>
  <dcterms:modified xsi:type="dcterms:W3CDTF">2024-02-22T14:04:00Z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_dlc_DocIdItemGuid">
    <vt:lpwstr>c139e0ef-f3e0-4142-86df-a89e78ccbf90</vt:lpwstr>
  </property>
  <property fmtid="{D5CDD505-2E9C-101B-9397-08002B2CF9AE}" pid="4" name="MediaServiceImageTags">
    <vt:lpwstr/>
  </property>
</Properties>
</file>